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Michaelson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CULLINAN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MAIN STREET, SUITE 1350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Cullinan Therapeutics, Inc.</w:t>
              </w:r>
            </w:hyperlink>
            <w:r>
              <w:rPr/>
              <w:t xml:space="preserve"> [ </w:t>
            </w:r>
            <w:r>
              <w:rPr>
                <w:rFonts w:ascii="Times;serif" w:hAnsi="Times;serif"/>
                <w:color w:val="0000FF"/>
                <w:sz w:val="24"/>
                <w:shd w:fill="FFFFFF" w:val="clear"/>
              </w:rPr>
              <w:t>CGEM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192,844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162,844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10/28/2030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82,987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plan established pursuant to Rule 10b5-1 on August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$20.00 to $20.69.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vested on July 4, 2020, and the remaining shares vested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Jacquelyn Sumer,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8061" TargetMode="External"/><Relationship Id="rId5" Type="http://schemas.openxmlformats.org/officeDocument/2006/relationships/hyperlink" Target="http://www.sec.gov/cgi-bin/browse-edgar?action=getcompany&amp;CIK=00017899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3792</Characters>
  <CharactersWithSpaces>4403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