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8</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Cullinan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3,711,284.00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3,711,284.00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3,711,284.00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3,711,284.00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3,711,284.00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3,711,284.00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2,269,166.00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2,269,166.00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2,269,166.00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2,269,166.00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2,269,166.00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2,269,166.00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400,861.00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400,861.00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400,861.00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400,861.00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400,861.00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400,861.00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0.6 %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5,980,450.00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5,980,450.00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5,980,450.00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6,491,123.00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6,491,123.00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6,491,123.00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6,491,123.00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6,491,123.00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6,491,123.00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6,491,123.00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6,491,123.00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6,491,123.00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63"/>
        <w:gridCol w:w="8887"/>
        <w:gridCol w:w="155"/>
      </w:tblGrid>
      <w:tr>
        <w:trPr/>
        <w:tc>
          <w:tcPr>
            <w:tcW w:w="1163" w:type="dxa"/>
            <w:tcBorders/>
            <w:vAlign w:val="center"/>
          </w:tcPr>
          <w:p>
            <w:pPr>
              <w:pStyle w:val="TableContents"/>
              <w:bidi w:val="0"/>
              <w:spacing w:before="0" w:after="283"/>
              <w:jc w:val="left"/>
              <w:rPr/>
            </w:pPr>
            <w:r>
              <w:rPr/>
              <w:t>Item 1.</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issuer: </w:t>
            </w:r>
          </w:p>
          <w:p>
            <w:pPr>
              <w:pStyle w:val="TableContents"/>
              <w:bidi w:val="0"/>
              <w:spacing w:before="0" w:after="0"/>
              <w:jc w:val="left"/>
              <w:rPr/>
            </w:pPr>
            <w:r>
              <w:rPr/>
              <w:t>Cullinan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MAIN STREET, SUITE 1350, CAMBRIDGE, MA 02142</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2.</w:t>
            </w:r>
          </w:p>
        </w:tc>
        <w:tc>
          <w:tcPr>
            <w:tcW w:w="888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3.</w:t>
            </w:r>
          </w:p>
        </w:tc>
        <w:tc>
          <w:tcPr>
            <w:tcW w:w="888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(d)</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(e)</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(f)</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(g)</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(h)</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(j)</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(k)</w:t>
            </w:r>
          </w:p>
        </w:tc>
        <w:tc>
          <w:tcPr>
            <w:tcW w:w="8887"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9042" w:type="dxa"/>
            <w:gridSpan w:val="2"/>
            <w:tcBorders/>
            <w:vAlign w:val="center"/>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4.</w:t>
            </w:r>
          </w:p>
        </w:tc>
        <w:tc>
          <w:tcPr>
            <w:tcW w:w="888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(a)</w:t>
            </w:r>
          </w:p>
        </w:tc>
        <w:tc>
          <w:tcPr>
            <w:tcW w:w="888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the Reporting Persons and a certain Partners managed account (the "Partners Managed Account") held an aggregate of 204,209 shares of Series A convertible preferred stock (the "Series A Preferred Stock"), convertible into an aggregate of 2,042,090 shares of the Issuer's Common Stock, par value $0.0001 per share (the "Shares"). Each share of Series A Preferred Stock is convertible into 10 Shares at the option of the holder at any time, subject to certain limitations, including that the holder will be prohibited from converting its Series A Preferred Stock into Shares if, as a result of such conversion, the holder, together with its affiliates, would beneficially own a number of Shares above 9.99% of the total Shares then issued and outstanding immediately following the conversion of such shares of Series A Preferred Stock (the "Conversion Blocker"). As of the close of business on June 30, 2026, the Conversion Blocker limits the conversion of the Series A Preferred Stock held by the Reporting Persons and the Partners Managed Account to 740,440 out of the 2,042,090 Shares underlying the Series A Preferred Stock held by them. As of the close of business on June 30, 2026, (i) BVF beneficially owned 3,711,284 Shares, including 740,440 Shares underlying certain Series A Preferred Stock held by it and excluding 374,620 Shares underlying certain Series A Preferred Stock held by it, (ii) BVF2 beneficially owned 2,269,166 Shares, excluding 807,180 Shares underlying the Series A Preferred Stock held by it, and (iii) Trading Fund OS beneficially owned 400,861 Shares, excluding 115,100 Shares underlying the Series A Preferred Stock held by it. BVF GP, as the general partner of BVF, may be deemed to beneficially own the 3,711,284 Shares beneficially owned by BVF. BVF2 GP, as the general partner of BVF2, may be deemed to beneficially own the 2,269,166 Shares beneficially owned by BVF2. Partners OS, as the general partner of Trading Fund OS, may be deemed to beneficially own the 400,861 Shares beneficially owned by Trading Fund OS. BVF GPH, as the sole member of each of BVF GP and BVF2 GP, may be deemed to beneficially own the 5,980,450 Shares beneficially owned in the aggregate by BVF and BVF2. Partners, as the investment manager of BVF, BVF2 and Trading Fund OS, and the sole member of Partners OS, may be deemed to beneficially own the 6,491,123 Shares beneficially owned in the aggregate by BVF, BVF2 and Trading Fund OS and held in the Partners Managed Account, including 109,812 Shares held in the Partners Managed Account, which excludes 4,750 Shares underlying the Series A Preferred Stock held in the Partners Managed Account. BVF Inc., as the general partner of Partners, may be deemed to beneficially own the 6,491,123 Shares beneficially owned by Partners. Mr. Lampert, as a director and officer of BVF Inc., may be deemed to beneficially own the 6,491,123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(b)</w:t>
            </w:r>
          </w:p>
        </w:tc>
        <w:tc>
          <w:tcPr>
            <w:tcW w:w="888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upon a denominator that is the sum of (i) 61,458,046 Shares outstanding as of April 30, 2026, which is the total number of Shares outstanding as disclosed in the Issuer's Quarterly Report on Form 10-Q filed with the Securities and Exchange Commission on May 7, 2026, (ii) 2,777,800 Shares issued to the Reporting Persons on June 26, 2026 upon the conversion of certain Series A Preferred Stock and (iii) 740,440 Shares underlying certain Series A Preferred Stock held by the Reporting Persons, as applicable. As of the close of business on June 30, 2026, (i) BVF beneficially owned approximately 5.7% of the outstanding Shares, (ii) BVF2 beneficially owned approximately 3.5% of the outstanding Shares, (iii) Trading Fund OS beneficially owned less than 1% of the outstanding Shares, (iv) BVF GP may be deemed to beneficially own approximately 5.7% of the outstanding Shares, (v) BVF2 GP may be deemed to beneficially own approximately 3.5% of the outstanding Shares, (vi) Partners OS may be deemed to beneficially own less than 1% of the outstanding Shares, (vii) BVF GPH may be deemed to beneficially own approximately 9.2% of the outstanding Shares and (viii) each of Partners, BVF Inc. and Mr. Lampert may be deemed to beneficially own approximately 9.99%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(c)</w:t>
            </w:r>
          </w:p>
        </w:tc>
        <w:tc>
          <w:tcPr>
            <w:tcW w:w="888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5.</w:t>
            </w:r>
          </w:p>
        </w:tc>
        <w:tc>
          <w:tcPr>
            <w:tcW w:w="888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6.</w:t>
            </w:r>
          </w:p>
        </w:tc>
        <w:tc>
          <w:tcPr>
            <w:tcW w:w="888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BVF GP, BVF GPH, Partners, BVF Inc. and Mr. Lampert share voting and dispositive power over the Shares beneficially owned by BVF. BVF GPH, Partners, BVF Inc. and Mr. Lampert share voting and dispositive power over the Shares beneficially owned by BVF2. Partners, BVF Inc. and Mr. Lampert share voting and dispositive power over the Shares beneficially owned by Trading Fund OS and held in the Partners Managed Account.</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7.</w:t>
            </w:r>
          </w:p>
        </w:tc>
        <w:tc>
          <w:tcPr>
            <w:tcW w:w="888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8.</w:t>
            </w:r>
          </w:p>
        </w:tc>
        <w:tc>
          <w:tcPr>
            <w:tcW w:w="888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November 8, 2021.</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Item 9.</w:t>
            </w:r>
          </w:p>
        </w:tc>
        <w:tc>
          <w:tcPr>
            <w:tcW w:w="888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3" w:type="dxa"/>
            <w:tcBorders/>
            <w:vAlign w:val="center"/>
          </w:tcPr>
          <w:p>
            <w:pPr>
              <w:pStyle w:val="TableContents"/>
              <w:bidi w:val="0"/>
              <w:spacing w:before="0" w:after="283"/>
              <w:jc w:val="left"/>
              <w:rPr/>
            </w:pPr>
            <w:r>
              <w:rPr/>
              <w:t> </w:t>
            </w:r>
          </w:p>
        </w:tc>
        <w:tc>
          <w:tcPr>
            <w:tcW w:w="888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3255</Words>
  <Characters>16664</Characters>
  <CharactersWithSpaces>19728</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