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gem-20260924.htm"/>
      <w:bookmarkStart w:id="1" w:name="kscgem2026092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CULLINAN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81-3879991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Main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410-4650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24, 2026, Cullinan Therapeutics, Inc. (the "Company") issued a press release outlining anticipated milestones for the fourth quarter of 2026. A copy of the press release is furnished as Exhibit 99.1 to this Current Report on Form 8-K and is incorporated herein by reference.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information in this Current Report on Form 8-K furnished pursuant to Item 7.01, including Exhibit 99.1 attached hereto, shall not be deemed to be "filed" for the purposes of Section 18 of the Exchange Act, or otherwise subject to the liabilities of that section and will not be incorporated by reference into any filing by the Company under the Securities Act or the Exchange Act, unless specifically identified as being incorporated therein by reference.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8.01 Other Events.</w:t>
      </w:r>
    </w:p>
    <w:p>
      <w:pPr>
        <w:pStyle w:val="Heading2"/>
        <w:bidi w:val="0"/>
        <w:jc w:val="left"/>
        <w:rPr>
          <w:rFonts w:ascii="Times New Roman" w:hAnsi="Times New Roman"/>
          <w:sz w:val="20"/>
        </w:rPr>
      </w:pPr>
      <w:r>
        <w:rPr>
          <w:rFonts w:ascii="Times New Roman" w:hAnsi="Times New Roman"/>
          <w:b w:val="false"/>
          <w:color w:val="000000"/>
          <w:sz w:val="20"/>
        </w:rPr>
        <w:t>On September 24, 2026, the Company outlined its plans to share the following immunology and oncology pipeline updates in the fourth quarter of 2026.</w:t>
      </w:r>
      <w:r>
        <w:rPr>
          <w:rFonts w:ascii="Times New Roman" w:hAnsi="Times New Roman"/>
          <w:color w:val="000000"/>
          <w:sz w:val="20"/>
        </w:rPr>
        <w:t xml:space="preserve"> </w:t>
      </w:r>
    </w:p>
    <w:p>
      <w:pPr>
        <w:pStyle w:val="Heading2"/>
        <w:bidi w:val="0"/>
        <w:jc w:val="left"/>
        <w:rPr/>
      </w:pPr>
      <w:r>
        <w:rPr/>
        <w:t> </w:t>
      </w:r>
    </w:p>
    <w:p>
      <w:pPr>
        <w:pStyle w:val="Heading2"/>
        <w:bidi w:val="0"/>
        <w:jc w:val="left"/>
        <w:rPr>
          <w:rFonts w:ascii="Times New Roman" w:hAnsi="Times New Roman"/>
          <w:b w:val="false"/>
          <w:i/>
          <w:color w:val="000000"/>
          <w:sz w:val="20"/>
        </w:rPr>
      </w:pPr>
      <w:r>
        <w:rPr>
          <w:rFonts w:ascii="Times New Roman" w:hAnsi="Times New Roman"/>
          <w:b w:val="false"/>
          <w:i/>
          <w:color w:val="000000"/>
          <w:sz w:val="20"/>
        </w:rPr>
        <w:t>Immunology</w:t>
      </w:r>
    </w:p>
    <w:p>
      <w:pPr>
        <w:pStyle w:val="Heading2"/>
        <w:bidi w:val="0"/>
        <w:jc w:val="left"/>
        <w:rPr/>
      </w:pPr>
      <w:r>
        <w:rPr/>
        <w:t> </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CLN-978</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Company plans to share both multi-dose and single target dose regimen data from each of its ongoing Phase 1 clinical trials of CLN-978 in patients with (i) treatment-refractory moderate to severe systemic lupus erythematosus ("SLE"), (ii) difficult-to-treat rheumatoid arthritis ("RA") and (iii) treatment-refractory moderate to severe Sjögren's disease in December.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Velinotamig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plans to share multi-dose regimen data from the ongoing Phase 1 dose escalation portion of the clinical trial of velinotamig in patients with SLE being conducted by Chongqing Genrix Biopharmaceutical Co., Ltd. in China in a poster session at American College of Rheumatology Convergence 2026 in November.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Oncology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CLN-049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plans to share updated data from the dose escalation portion of its ongoing Phase 1 trial of CLN-049 in patients with relapsed/refractory acute myeloid leukemia in December.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t> </w:t>
      </w:r>
    </w:p>
    <w:tbl>
      <w:tblPr>
        <w:tblW w:w="8968" w:type="dxa"/>
        <w:jc w:val="left"/>
        <w:tblInd w:w="0" w:type="dxa"/>
        <w:tblLayout w:type="fixed"/>
        <w:tblCellMar>
          <w:top w:w="28" w:type="dxa"/>
          <w:left w:w="28" w:type="dxa"/>
          <w:bottom w:w="28" w:type="dxa"/>
          <w:right w:w="28" w:type="dxa"/>
        </w:tblCellMar>
      </w:tblPr>
      <w:tblGrid>
        <w:gridCol w:w="1081"/>
        <w:gridCol w:w="146"/>
        <w:gridCol w:w="774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1" w:type="dxa"/>
            <w:tcBorders/>
            <w:tcMar>
              <w:top w:w="0" w:type="dxa"/>
              <w:left w:w="0" w:type="dxa"/>
              <w:bottom w:w="0" w:type="dxa"/>
              <w:right w:w="0" w:type="dxa"/>
            </w:tcMar>
            <w:vAlign w:val="center"/>
          </w:tcPr>
          <w:p>
            <w:pPr>
              <w:pStyle w:val="TableContents"/>
              <w:bidi w:val="0"/>
              <w:spacing w:before="0" w:after="283"/>
              <w:jc w:val="left"/>
              <w:rPr/>
            </w:pPr>
            <w:hyperlink w:anchor="cgem-ex99_1.htm">
              <w:r>
                <w:rPr>
                  <w:rStyle w:val="InternetLink"/>
                  <w:rFonts w:ascii="Times New Roman" w:hAnsi="Times New Roman"/>
                  <w:color w:val="0000FF"/>
                  <w:sz w:val="20"/>
                  <w:u w:val="single"/>
                </w:rPr>
                <w:t>Press release issued by Cullinan Therapeutics, Inc. on September 24,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56"/>
        <w:gridCol w:w="1726"/>
        <w:gridCol w:w="451"/>
        <w:gridCol w:w="322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CULLINAN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Kay Fenton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Mary Kay Fenton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Aptos;sans-serif" w:hAnsi="Aptos;sans-serif"/>
          <w:b/>
          <w:color w:val="000000"/>
          <w:sz w:val="24"/>
        </w:rPr>
      </w:pPr>
      <w:bookmarkStart w:id="2" w:name="cgem-ex99_1.htm"/>
      <w:bookmarkStart w:id="3" w:name="kscgemex99_1"/>
      <w:bookmarkEnd w:id="2"/>
      <w:bookmarkEnd w:id="3"/>
      <w:r>
        <w:rPr>
          <w:rFonts w:ascii="Aptos;sans-serif" w:hAnsi="Aptos;sans-serif"/>
          <w:b/>
          <w:color w:val="000000"/>
          <w:sz w:val="24"/>
        </w:rPr>
        <w:t>Exhibit 99.1</w:t>
      </w:r>
      <w:r>
        <w:br w:type="page"/>
      </w:r>
    </w:p>
    <w:p>
      <w:pPr>
        <w:pStyle w:val="TextBody"/>
        <w:bidi w:val="0"/>
        <w:spacing w:before="0" w:after="240"/>
        <w:jc w:val="center"/>
        <w:rPr>
          <w:rFonts w:ascii="Aptos;sans-serif" w:hAnsi="Aptos;sans-serif"/>
          <w:sz w:val="24"/>
        </w:rPr>
      </w:pPr>
      <w:r>
        <w:rPr>
          <w:rFonts w:ascii="Aptos;sans-serif" w:hAnsi="Aptos;sans-serif"/>
          <w:b/>
          <w:color w:val="000000"/>
          <w:sz w:val="24"/>
        </w:rPr>
        <w:t>Cullinan Therapeutics Highlights Fourth Quarter 2026 Milestones Across Immunology and Oncology T Cell Engager Portfolio</w:t>
      </w:r>
      <w:r>
        <w:rPr>
          <w:rFonts w:ascii="Aptos;sans-serif" w:hAnsi="Aptos;sans-serif"/>
          <w:color w:val="000000"/>
          <w:sz w:val="24"/>
        </w:rPr>
        <w:t xml:space="preserve"> </w:t>
      </w:r>
    </w:p>
    <w:p>
      <w:pPr>
        <w:pStyle w:val="TextBody"/>
        <w:bidi w:val="0"/>
        <w:jc w:val="center"/>
        <w:rPr>
          <w:rFonts w:ascii="Aptos;sans-serif" w:hAnsi="Aptos;sans-serif"/>
          <w:sz w:val="24"/>
        </w:rPr>
      </w:pPr>
      <w:r>
        <w:rPr>
          <w:rFonts w:ascii="Aptos;sans-serif" w:hAnsi="Aptos;sans-serif"/>
          <w:i/>
          <w:color w:val="000000"/>
          <w:sz w:val="24"/>
        </w:rPr>
        <w:t>Velinotamig (BCMA TCE) multi-dose regimen data in SLE at ACR Convergence 2026 in November</w:t>
      </w:r>
      <w:r>
        <w:rPr>
          <w:rFonts w:ascii="Aptos;sans-serif" w:hAnsi="Aptos;sans-serif"/>
          <w:color w:val="000000"/>
          <w:sz w:val="24"/>
        </w:rPr>
        <w:t xml:space="preserve"> </w:t>
      </w:r>
    </w:p>
    <w:p>
      <w:pPr>
        <w:pStyle w:val="TextBody"/>
        <w:bidi w:val="0"/>
        <w:jc w:val="center"/>
        <w:rPr/>
      </w:pPr>
      <w:r>
        <w:rPr/>
        <w:t> </w:t>
      </w:r>
    </w:p>
    <w:p>
      <w:pPr>
        <w:pStyle w:val="TextBody"/>
        <w:bidi w:val="0"/>
        <w:jc w:val="center"/>
        <w:rPr>
          <w:rFonts w:ascii="Aptos;sans-serif" w:hAnsi="Aptos;sans-serif"/>
          <w:i/>
          <w:color w:val="000000"/>
          <w:sz w:val="24"/>
        </w:rPr>
      </w:pPr>
      <w:r>
        <w:rPr>
          <w:rFonts w:ascii="Aptos;sans-serif" w:hAnsi="Aptos;sans-serif"/>
          <w:i/>
          <w:color w:val="000000"/>
          <w:sz w:val="24"/>
        </w:rPr>
        <w:t>CLN-978 (CD19 TCE) multi-dose regimen data in SLE, RA and Sjögren’s disease in December</w:t>
      </w:r>
    </w:p>
    <w:p>
      <w:pPr>
        <w:pStyle w:val="TextBody"/>
        <w:bidi w:val="0"/>
        <w:jc w:val="left"/>
        <w:rPr/>
      </w:pPr>
      <w:r>
        <w:rPr/>
        <w:t> </w:t>
      </w:r>
    </w:p>
    <w:p>
      <w:pPr>
        <w:pStyle w:val="TextBody"/>
        <w:bidi w:val="0"/>
        <w:jc w:val="center"/>
        <w:rPr>
          <w:rFonts w:ascii="Aptos;sans-serif" w:hAnsi="Aptos;sans-serif"/>
          <w:i/>
          <w:color w:val="000000"/>
          <w:sz w:val="24"/>
        </w:rPr>
      </w:pPr>
      <w:r>
        <w:rPr>
          <w:rFonts w:ascii="Aptos;sans-serif" w:hAnsi="Aptos;sans-serif"/>
          <w:i/>
          <w:color w:val="000000"/>
          <w:sz w:val="24"/>
        </w:rPr>
        <w:t>CLN-049 (FLT3 TCE) updated data from the Phase 1 dose escalation study in December</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color w:val="000000"/>
          <w:sz w:val="24"/>
        </w:rPr>
        <w:t xml:space="preserve">CAMBRIDGE, Mass. September 24, 2026 (GLOBE NEWSWIRE) -- </w:t>
      </w:r>
      <w:r>
        <w:rPr>
          <w:rFonts w:ascii="Aptos;sans-serif" w:hAnsi="Aptos;sans-serif"/>
          <w:sz w:val="24"/>
        </w:rPr>
        <w:t>Cullinan Therapeutics, Inc.</w:t>
      </w:r>
      <w:r>
        <w:rPr>
          <w:rFonts w:ascii="Aptos;sans-serif" w:hAnsi="Aptos;sans-serif"/>
          <w:color w:val="000000"/>
          <w:sz w:val="24"/>
        </w:rPr>
        <w:t xml:space="preserve"> (Nasdaq: CGEM; “Cullinan”), a clinical-stage biopharmaceutical company accelerating potential first- or best-in-class, disease-modifying T cell engagers in autoimmune diseases and cancer, today outlined fourth quarter 2026 milestones across its immunology and oncology pipeline.</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 xml:space="preserve">We look forward to providing several updates across our T cell engager programs in the fourth quarter of 2026. Starting with autoimmune diseases, for CLN-978 we look forward to sharing the most comprehensive clinical data set to date for a CD19 T cell engager across all indications, with multi-dose regimen data reported concurrently for SLE, RA, and now Sjögren’s disease also. For velinotamig, we will provide multi-dose regimen data from the ongoing Phase 1 dose escalation study as we advance the program in plasma cell driven diseases. Together, our CD19- and BCMA-targeted programs reflect a differentiated approach to treating autoimmune diseases, aiming to address distinct disease drivers across a broad range of conditions. For CLN-049, we plan to provide an update with longer follow up from the dose escalation portion of our ongoing Phase 1 study in a broad, all-comer population of relapsed/refractory AML patients. We look forward to rapidly progressing this program and initiating our potentially registrational Phase 2 study, following our recent successful meeting with the FDA,” said Nadim Ahmed, President and CEO of Cullinan Therapeutics. </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The Company plans to share the following immunology and oncology pipeline updates in Q4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sz w:val="24"/>
        </w:rPr>
      </w:pPr>
      <w:r>
        <w:rPr>
          <w:rFonts w:ascii="Aptos;sans-serif" w:hAnsi="Aptos;sans-serif"/>
          <w:b/>
          <w:color w:val="000000"/>
          <w:sz w:val="24"/>
        </w:rPr>
        <w:t xml:space="preserve">CLN-978 (CD19xCD3 T cell engager): </w:t>
      </w:r>
      <w:r>
        <w:rPr>
          <w:rFonts w:ascii="Aptos;sans-serif" w:hAnsi="Aptos;sans-serif"/>
          <w:color w:val="000000"/>
          <w:sz w:val="24"/>
        </w:rPr>
        <w:t>treatment-refractory moderate to severe systemic lupus erythematosus (SLE), difficult-to-treat rheumatoid arthritis (RA), and treatment-refractory moderate to severe Sjögren’s disease (SjD)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ptos;sans-serif" w:hAnsi="Aptos;sans-serif"/>
          <w:color w:val="000000"/>
          <w:sz w:val="24"/>
        </w:rPr>
      </w:pPr>
      <w:r>
        <w:rPr>
          <w:rFonts w:ascii="Aptos;sans-serif" w:hAnsi="Aptos;sans-serif"/>
          <w:color w:val="000000"/>
          <w:sz w:val="24"/>
        </w:rPr>
        <w:t xml:space="preserve">Multi-dose and single target dose regimen data in SLE, RA, and SjD in December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sz w:val="24"/>
        </w:rPr>
      </w:pPr>
      <w:r>
        <w:rPr>
          <w:rFonts w:ascii="Aptos;sans-serif" w:hAnsi="Aptos;sans-serif"/>
          <w:b/>
          <w:color w:val="000000"/>
          <w:sz w:val="24"/>
        </w:rPr>
        <w:t xml:space="preserve">Velinotamig (BCMAxCD3 T cell engager): </w:t>
      </w:r>
      <w:r>
        <w:rPr>
          <w:rFonts w:ascii="Aptos;sans-serif" w:hAnsi="Aptos;sans-serif"/>
          <w:color w:val="000000"/>
          <w:sz w:val="24"/>
        </w:rPr>
        <w:t>treatment-refractory autoimmune diseases driven by long-lived plasma cells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ptos;sans-serif" w:hAnsi="Aptos;sans-serif"/>
          <w:color w:val="000000"/>
          <w:sz w:val="24"/>
        </w:rPr>
      </w:pPr>
      <w:r>
        <w:rPr>
          <w:rFonts w:ascii="Aptos;sans-serif" w:hAnsi="Aptos;sans-serif"/>
          <w:color w:val="000000"/>
          <w:sz w:val="24"/>
        </w:rPr>
        <w:t>Multi-dose regimen data from the ongoing Genrix Bio Phase 1 dose escalation study in SLE to be shared in poster session at ACR Convergence 2026 on November 8, 2026, 10:30 a.m. to 12:30 p.m. ET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sz w:val="24"/>
        </w:rPr>
      </w:pPr>
      <w:r>
        <w:rPr>
          <w:rFonts w:ascii="Aptos;sans-serif" w:hAnsi="Aptos;sans-serif"/>
          <w:b/>
          <w:color w:val="000000"/>
          <w:sz w:val="24"/>
        </w:rPr>
        <w:t xml:space="preserve">CLN-049 (FLT3xCD3 T cell engager): </w:t>
      </w:r>
      <w:r>
        <w:rPr>
          <w:rFonts w:ascii="Aptos;sans-serif" w:hAnsi="Aptos;sans-serif"/>
          <w:color w:val="000000"/>
          <w:sz w:val="24"/>
        </w:rPr>
        <w:t xml:space="preserve">relapsed/refractory acute myeloid leukemia (AML)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ptos;sans-serif" w:hAnsi="Aptos;sans-serif"/>
          <w:color w:val="000000"/>
          <w:sz w:val="24"/>
        </w:rPr>
      </w:pPr>
      <w:r>
        <w:rPr>
          <w:rFonts w:ascii="Aptos;sans-serif" w:hAnsi="Aptos;sans-serif"/>
          <w:color w:val="000000"/>
          <w:sz w:val="24"/>
        </w:rPr>
        <w:t>Updated data from the dose escalation portion of the Phase 1 study in December</w:t>
      </w:r>
    </w:p>
    <w:p>
      <w:pPr>
        <w:pStyle w:val="TextBody"/>
        <w:bidi w:val="0"/>
        <w:spacing w:before="240" w:after="120"/>
        <w:jc w:val="left"/>
        <w:rPr>
          <w:rFonts w:ascii="Aptos;sans-serif" w:hAnsi="Aptos;sans-serif"/>
          <w:sz w:val="24"/>
        </w:rPr>
      </w:pPr>
      <w:r>
        <w:rPr>
          <w:rFonts w:ascii="Aptos;sans-serif" w:hAnsi="Aptos;sans-serif"/>
          <w:b/>
          <w:color w:val="000000"/>
          <w:sz w:val="24"/>
        </w:rPr>
        <w:t>About Cullinan Therapeutics</w:t>
      </w:r>
      <w:r>
        <w:rPr>
          <w:rFonts w:ascii="Aptos;sans-serif" w:hAnsi="Aptos;sans-serif"/>
          <w:color w:val="000000"/>
          <w:sz w:val="24"/>
        </w:rPr>
        <w:t xml:space="preserve"> </w:t>
      </w:r>
    </w:p>
    <w:p>
      <w:pPr>
        <w:pStyle w:val="TextBody"/>
        <w:bidi w:val="0"/>
        <w:jc w:val="left"/>
        <w:rPr>
          <w:rFonts w:ascii="Times New Roman" w:hAnsi="Times New Roman"/>
          <w:sz w:val="24"/>
        </w:rPr>
      </w:pPr>
      <w:r>
        <w:rPr>
          <w:rFonts w:ascii="Aptos;sans-serif" w:hAnsi="Aptos;sans-serif"/>
          <w:sz w:val="24"/>
        </w:rPr>
        <w:t>Cullinan Therapeutics, Inc.</w:t>
      </w:r>
      <w:r>
        <w:rPr>
          <w:rFonts w:ascii="Times New Roman" w:hAnsi="Times New Roman"/>
          <w:color w:val="000000"/>
          <w:sz w:val="24"/>
        </w:rPr>
        <w:t xml:space="preserve"> </w:t>
      </w:r>
      <w:r>
        <w:rPr>
          <w:rFonts w:ascii="Aptos;sans-serif" w:hAnsi="Aptos;sans-serif"/>
          <w:color w:val="000000"/>
          <w:sz w:val="24"/>
        </w:rPr>
        <w:t>(Nasdaq: CGEM) is a biopharmaceutical company developing potential first- or best-in-class, disease-modifying T cell engagers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 care for patients. Learn more about Cullinan at</w:t>
      </w:r>
      <w:r>
        <w:rPr>
          <w:rFonts w:ascii="Times New Roman" w:hAnsi="Times New Roman"/>
          <w:color w:val="000000"/>
          <w:sz w:val="24"/>
        </w:rPr>
        <w:t xml:space="preserve"> </w:t>
      </w:r>
      <w:r>
        <w:rPr>
          <w:rFonts w:ascii="Aptos;sans-serif" w:hAnsi="Aptos;sans-serif"/>
          <w:sz w:val="24"/>
        </w:rPr>
        <w:t>https://cullinantherapeutics.com/</w:t>
      </w:r>
      <w:r>
        <w:rPr>
          <w:rFonts w:ascii="Aptos;sans-serif" w:hAnsi="Aptos;sans-serif"/>
          <w:color w:val="000000"/>
          <w:sz w:val="24"/>
        </w:rPr>
        <w:t>, and follow Cullinan on</w:t>
      </w:r>
      <w:r>
        <w:rPr>
          <w:rFonts w:ascii="Times New Roman" w:hAnsi="Times New Roman"/>
          <w:color w:val="000000"/>
          <w:sz w:val="24"/>
        </w:rPr>
        <w:t xml:space="preserve"> </w:t>
      </w:r>
      <w:r>
        <w:rPr>
          <w:rFonts w:ascii="Aptos;sans-serif" w:hAnsi="Aptos;sans-serif"/>
          <w:sz w:val="24"/>
        </w:rPr>
        <w:t>LinkedIn</w:t>
      </w:r>
      <w:r>
        <w:rPr>
          <w:rFonts w:ascii="Times New Roman" w:hAnsi="Times New Roman"/>
          <w:color w:val="000000"/>
          <w:sz w:val="24"/>
        </w:rPr>
        <w:t xml:space="preserve"> </w:t>
      </w:r>
      <w:r>
        <w:rPr>
          <w:rFonts w:ascii="Aptos;sans-serif" w:hAnsi="Aptos;sans-serif"/>
          <w:color w:val="000000"/>
          <w:sz w:val="24"/>
        </w:rPr>
        <w:t>and</w:t>
      </w:r>
      <w:r>
        <w:rPr>
          <w:rFonts w:ascii="Times New Roman" w:hAnsi="Times New Roman"/>
          <w:color w:val="000000"/>
          <w:sz w:val="24"/>
        </w:rPr>
        <w:t xml:space="preserve"> </w:t>
      </w:r>
      <w:r>
        <w:rPr>
          <w:rFonts w:ascii="Aptos;sans-serif" w:hAnsi="Aptos;sans-serif"/>
          <w:sz w:val="24"/>
        </w:rPr>
        <w:t>X</w:t>
      </w:r>
      <w:r>
        <w:rPr>
          <w:rFonts w:ascii="Aptos;sans-serif" w:hAnsi="Aptos;sans-serif"/>
          <w:color w:val="000000"/>
          <w:sz w:val="24"/>
        </w:rPr>
        <w:t>.</w:t>
      </w:r>
    </w:p>
    <w:p>
      <w:pPr>
        <w:pStyle w:val="TextBody"/>
        <w:bidi w:val="0"/>
        <w:spacing w:before="120" w:after="12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20"/>
        <w:jc w:val="left"/>
        <w:rPr>
          <w:rFonts w:ascii="Aptos;sans-serif" w:hAnsi="Aptos;sans-serif"/>
          <w:color w:val="000000"/>
          <w:sz w:val="24"/>
        </w:rPr>
      </w:pPr>
      <w:r>
        <w:rPr>
          <w:rFonts w:ascii="Aptos;sans-serif" w:hAnsi="Aptos;sans-serif"/>
          <w:color w:val="000000"/>
          <w:sz w:val="24"/>
        </w:rPr>
        <w:t>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our clinical development plans and anticipated timelines for our product candidates, the clinical and therapeutic potential of our product candidates, our plans regarding future data presentations and other statements that are not historical facts. The words “believe,” “continue,” “could,” “estimate,” “expect,” “intends,” “may,” “plan,” “potential,” “project,” “pursue,” “will,” and similar expressions are intended to identify forward-looking statements, although not all forward-looking statements contain these identifying words.</w:t>
      </w:r>
    </w:p>
    <w:p>
      <w:pPr>
        <w:pStyle w:val="TextBody"/>
        <w:bidi w:val="0"/>
        <w:jc w:val="left"/>
        <w:rPr>
          <w:rFonts w:ascii="Aptos;sans-serif" w:hAnsi="Aptos;sans-serif"/>
          <w:color w:val="000000"/>
          <w:sz w:val="24"/>
        </w:rPr>
      </w:pPr>
      <w:r>
        <w:rPr>
          <w:rFonts w:ascii="Aptos;sans-serif" w:hAnsi="Aptos;sans-serif"/>
          <w:color w:val="000000"/>
          <w:sz w:val="24"/>
        </w:rPr>
        <w:t xml:space="preserve">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clinical trial data and regulatory submissions; the risk that any NDAs, INDs, or other global regulatory submissions we may file with the United States Food and Drug Administration or other global regulatory agencies are not accepted or cleared on our expected timelines, or at all; the success of our clinical trials and preclinical studies; the risks related to our ability to protect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ptos;sans-serif" w:hAnsi="Aptos;sans-serif"/>
          <w:color w:val="000000"/>
          <w:sz w:val="24"/>
        </w:rPr>
      </w:pPr>
      <w:r>
        <w:rPr>
          <w:rFonts w:ascii="Aptos;sans-serif" w:hAnsi="Aptos;sans-serif"/>
          <w:color w:val="000000"/>
          <w:sz w:val="24"/>
        </w:rPr>
        <w:t xml:space="preserve">maintain our intellectual property position; the risks related to manufacturing, supply, and distribution of our product candidates; the risk that any one or more of our product candidates, including those that are co-developed, will not be successfully developed and commercialized; the risk that the results of preclinical studies or clinical trials will not be predictive of future results in connection with future studies or clinical trials; the effect of changes in global economic conditions, including uncertainties related to international trade policies, tariffs and supply chain dynamics on our business and operations;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 statements included in this press release. Any forward-looking statement included in this press release speaks only as of the date on which it was made. </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Contacts:</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Investors</w:t>
      </w:r>
    </w:p>
    <w:p>
      <w:pPr>
        <w:pStyle w:val="TextBody"/>
        <w:bidi w:val="0"/>
        <w:jc w:val="both"/>
        <w:rPr>
          <w:rFonts w:ascii="Aptos;sans-serif" w:hAnsi="Aptos;sans-serif"/>
          <w:color w:val="000000"/>
          <w:sz w:val="24"/>
        </w:rPr>
      </w:pPr>
      <w:r>
        <w:rPr>
          <w:rFonts w:ascii="Aptos;sans-serif" w:hAnsi="Aptos;sans-serif"/>
          <w:color w:val="000000"/>
          <w:sz w:val="24"/>
        </w:rPr>
        <w:t>Nick Smith</w:t>
      </w:r>
    </w:p>
    <w:p>
      <w:pPr>
        <w:pStyle w:val="TextBody"/>
        <w:bidi w:val="0"/>
        <w:jc w:val="both"/>
        <w:rPr>
          <w:rFonts w:ascii="Aptos;sans-serif" w:hAnsi="Aptos;sans-serif"/>
          <w:color w:val="000000"/>
          <w:sz w:val="24"/>
        </w:rPr>
      </w:pPr>
      <w:r>
        <w:rPr>
          <w:rFonts w:ascii="Aptos;sans-serif" w:hAnsi="Aptos;sans-serif"/>
          <w:color w:val="000000"/>
          <w:sz w:val="24"/>
        </w:rPr>
        <w:t>+1 401.241.3516</w:t>
      </w:r>
    </w:p>
    <w:p>
      <w:pPr>
        <w:pStyle w:val="TextBody"/>
        <w:bidi w:val="0"/>
        <w:jc w:val="both"/>
        <w:rPr>
          <w:rFonts w:ascii="Aptos;sans-serif" w:hAnsi="Aptos;sans-serif"/>
          <w:color w:val="000000"/>
          <w:sz w:val="24"/>
        </w:rPr>
      </w:pPr>
      <w:r>
        <w:rPr>
          <w:rFonts w:ascii="Aptos;sans-serif" w:hAnsi="Aptos;sans-serif"/>
          <w:color w:val="000000"/>
          <w:sz w:val="24"/>
        </w:rPr>
        <w:t xml:space="preserve">nsmith@cullinantx.com </w:t>
      </w:r>
    </w:p>
    <w:p>
      <w:pPr>
        <w:pStyle w:val="TextBody"/>
        <w:bidi w:val="0"/>
        <w:jc w:val="both"/>
        <w:rPr/>
      </w:pPr>
      <w:r>
        <w:rPr/>
        <w:t> </w:t>
      </w:r>
    </w:p>
    <w:p>
      <w:pPr>
        <w:pStyle w:val="TextBody"/>
        <w:bidi w:val="0"/>
        <w:jc w:val="both"/>
        <w:rPr>
          <w:rFonts w:ascii="Times New Roman" w:hAnsi="Times New Roman"/>
          <w:sz w:val="24"/>
        </w:rPr>
      </w:pPr>
      <w:r>
        <w:rPr>
          <w:rFonts w:ascii="Aptos;sans-serif" w:hAnsi="Aptos;sans-serif"/>
          <w:b/>
          <w:color w:val="000000"/>
          <w:sz w:val="24"/>
        </w:rPr>
        <w:t>Media</w:t>
      </w:r>
      <w:r>
        <w:rPr>
          <w:rFonts w:ascii="Times New Roman" w:hAnsi="Times New Roman"/>
          <w:color w:val="000000"/>
          <w:sz w:val="24"/>
        </w:rPr>
        <w:t xml:space="preserve">  </w:t>
      </w:r>
    </w:p>
    <w:p>
      <w:pPr>
        <w:pStyle w:val="TextBody"/>
        <w:bidi w:val="0"/>
        <w:jc w:val="both"/>
        <w:rPr>
          <w:rFonts w:ascii="Aptos;sans-serif" w:hAnsi="Aptos;sans-serif"/>
          <w:color w:val="000000"/>
          <w:sz w:val="24"/>
        </w:rPr>
      </w:pPr>
      <w:r>
        <w:rPr>
          <w:rFonts w:ascii="Aptos;sans-serif" w:hAnsi="Aptos;sans-serif"/>
          <w:color w:val="000000"/>
          <w:sz w:val="24"/>
        </w:rPr>
        <w:t xml:space="preserve">Rose Weldon </w:t>
      </w:r>
    </w:p>
    <w:p>
      <w:pPr>
        <w:pStyle w:val="TextBody"/>
        <w:bidi w:val="0"/>
        <w:jc w:val="both"/>
        <w:rPr>
          <w:rFonts w:ascii="Aptos;sans-serif" w:hAnsi="Aptos;sans-serif"/>
          <w:color w:val="000000"/>
          <w:sz w:val="24"/>
        </w:rPr>
      </w:pPr>
      <w:r>
        <w:rPr>
          <w:rFonts w:ascii="Aptos;sans-serif" w:hAnsi="Aptos;sans-serif"/>
          <w:color w:val="000000"/>
          <w:sz w:val="24"/>
        </w:rPr>
        <w:t xml:space="preserve">+1 215.801.7644 </w:t>
      </w:r>
    </w:p>
    <w:p>
      <w:pPr>
        <w:pStyle w:val="TextBody"/>
        <w:bidi w:val="0"/>
        <w:jc w:val="both"/>
        <w:rPr>
          <w:rFonts w:ascii="Aptos;sans-serif" w:hAnsi="Aptos;sans-serif"/>
          <w:color w:val="000000"/>
          <w:sz w:val="24"/>
        </w:rPr>
      </w:pPr>
      <w:r>
        <w:rPr>
          <w:rFonts w:ascii="Aptos;sans-serif" w:hAnsi="Aptos;sans-serif"/>
          <w:color w:val="000000"/>
          <w:sz w:val="24"/>
        </w:rPr>
        <w:t xml:space="preserve">rweldon@cullinantx.com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1704</Words>
  <Characters>9837</Characters>
  <CharactersWithSpaces>11521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