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gem-20260913.htm"/>
      <w:bookmarkStart w:id="1" w:name="kscgem2026091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CULLINAN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81-3879991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Main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1350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410-4650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CGEM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September 13, 2026, Cullinan Therapeutics, Inc. (the "Company"), together with Taiho Oncology, Inc. and Taiho Pharmaceutical Co., Ltd. (collectively "Taiho"), issued a press release announcing the results from the Phase 3 REZILIENT3 clinical trial evaluating zipalertinib plus chemotherapy versus chemotherapy alone in the first-line treatment of patients with epidermal growth factor receptor ("EGFR") exon 20 insertion ("ex20ins") mutation-positive non-small cell lung cancer ("NSCLC"). A copy of the press release is furnished as Exhibit 99.1 to this Current Report on Form 8-K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in this report furnished pursuant to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13, 2026, the Company, together with Taiho, announced results from the Phase 3 REZILIENT3 clinical trial evaluating zipalertinib plus chemotherapy versus chemotherapy alone in the first-line treatment of patients with EGFR ex20ins NSCLC. After a safety lead-in (n=6), a total of 279 advanced NSCLC patients with EGFR ex20ins and no prior treatment for advanced disease were randomly assigned to receive 100 milligrams of zipalertinib twice a day plus platinum-based chemotherapy (n=140) (the "zipalertinib combination arm") or chemotherapy alone (n=139) (the "control arm"). Baseline characteristics were balanced between the zipalertinib combination arm and the control arm, including age (66.5 vs. 64 years), sex (65.7% vs. 63.3% female) and brain metastases (31.4% vs. 31.7%),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the pre-planned interim efficacy analysis after 122 progression free survival ("PFS") events, treatment with zipalertinib plus chemotherapy led to significantly longer median PFS than chemotherapy alone (14.5 months vs. 8.5 months; hazard ratio 0.50; 95% confidence interval, 0.34-0.73; P=0.00015). This PFS benefit was consistent across subgroups, including patients with brain metastases (hazard ratio: 0.38).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Objective response rate was higher for zipalertinib plus chemotherapy than for chemotherapy alone (65.0% vs. 40.3%; P&lt;0.0001) with a longer median duration of response (14.2 months versus 9.9 months). At the interim overall survival analysis (30% maturity), the hazard ratio for death for the zipalertinib combination as compared with chemotherapy alone was 0.72 (95% confidence interval, 0.42-1.23). Continued follow-up of REZLIENT3 is ongoing to further characterize the overall survival benefit and exploratory endpoints.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observed adverse event ("AE") profile of the zipalertinib combination was generally consistent with the known safety profiles of the individual agents and no new safety signals were observed. Grade ≥3 AEs occurred more frequently for zipalertinib plus chemotherapy than for chemotherapy alone (87.1% vs. 54.4%), but these were primarily manageable hematologic AEs (58.6% vs. 28.7%). Grade ≥3 EGFR-related toxicities were infrequent, and those observed only in the zipalertinib combination arm included rash (10.7%) and diarrhea (1.4%).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953" w:type="dxa"/>
        <w:jc w:val="left"/>
        <w:tblInd w:w="0" w:type="dxa"/>
        <w:tblLayout w:type="fixed"/>
        <w:tblCellMar>
          <w:top w:w="28" w:type="dxa"/>
          <w:left w:w="28" w:type="dxa"/>
          <w:bottom w:w="28" w:type="dxa"/>
          <w:right w:w="28" w:type="dxa"/>
        </w:tblCellMar>
      </w:tblPr>
      <w:tblGrid>
        <w:gridCol w:w="1066"/>
        <w:gridCol w:w="146"/>
        <w:gridCol w:w="774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4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1" w:type="dxa"/>
            <w:tcBorders/>
            <w:tcMar>
              <w:top w:w="0" w:type="dxa"/>
              <w:left w:w="0" w:type="dxa"/>
              <w:bottom w:w="0" w:type="dxa"/>
              <w:right w:w="0" w:type="dxa"/>
            </w:tcMar>
            <w:vAlign w:val="center"/>
          </w:tcPr>
          <w:p>
            <w:pPr>
              <w:pStyle w:val="TableContents"/>
              <w:bidi w:val="0"/>
              <w:spacing w:before="0" w:after="283"/>
              <w:jc w:val="left"/>
              <w:rPr/>
            </w:pPr>
            <w:hyperlink w:anchor="cgem-ex99_1.htm">
              <w:r>
                <w:rPr>
                  <w:rStyle w:val="InternetLink"/>
                  <w:rFonts w:ascii="Times New Roman" w:hAnsi="Times New Roman"/>
                  <w:color w:val="0000FF"/>
                  <w:sz w:val="20"/>
                  <w:u w:val="single"/>
                </w:rPr>
                <w:t>Press release issued by Cullinan Therapeutics, Inc. on September 13, 2026, furnished herewith</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59" w:type="dxa"/>
        <w:jc w:val="left"/>
        <w:tblInd w:w="0" w:type="dxa"/>
        <w:tblLayout w:type="fixed"/>
        <w:tblCellMar>
          <w:top w:w="28" w:type="dxa"/>
          <w:left w:w="28" w:type="dxa"/>
          <w:bottom w:w="28" w:type="dxa"/>
          <w:right w:w="28" w:type="dxa"/>
        </w:tblCellMar>
      </w:tblPr>
      <w:tblGrid>
        <w:gridCol w:w="556"/>
        <w:gridCol w:w="1726"/>
        <w:gridCol w:w="451"/>
        <w:gridCol w:w="322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CULLINAN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Mary Kay Fenton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Mary Kay Fenton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gem-ex99_1.htm"/>
      <w:bookmarkStart w:id="3" w:name="kscgemex99_1"/>
      <w:bookmarkEnd w:id="2"/>
      <w:bookmarkEnd w:id="3"/>
      <w:r>
        <w:rPr/>
        <w:t> </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Aptos;sans-serif" w:hAnsi="Aptos;sans-serif"/>
          <w:b/>
          <w:color w:val="000000"/>
          <w:sz w:val="24"/>
        </w:rPr>
      </w:pPr>
      <w:r>
        <w:rPr>
          <w:rFonts w:ascii="Aptos;sans-serif" w:hAnsi="Aptos;sans-serif"/>
          <w:b/>
          <w:color w:val="000000"/>
          <w:sz w:val="24"/>
        </w:rPr>
        <w:t>Exhibit 99.1</w:t>
      </w:r>
    </w:p>
    <w:p>
      <w:pPr>
        <w:pStyle w:val="TextBody"/>
        <w:bidi w:val="0"/>
        <w:jc w:val="center"/>
        <w:rPr>
          <w:rFonts w:ascii="Aptos;sans-serif" w:hAnsi="Aptos;sans-serif"/>
          <w:b/>
          <w:color w:val="000000"/>
          <w:sz w:val="32"/>
        </w:rPr>
      </w:pPr>
      <w:r>
        <w:rPr>
          <w:rFonts w:ascii="Aptos;sans-serif" w:hAnsi="Aptos;sans-serif"/>
          <w:b/>
          <w:color w:val="000000"/>
          <w:sz w:val="32"/>
        </w:rPr>
        <w:t>Zipalertinib Plus Chemotherapy Demonstrates 6-Month Median Progression-Free Survival Benefit in REZILIENT3 Phase 3 Trial in First-Line EGFR Exon 20 Insertion Mutation Non-Small Cell Lung Cancer</w:t>
      </w:r>
    </w:p>
    <w:p>
      <w:pPr>
        <w:pStyle w:val="TextBody"/>
        <w:bidi w:val="0"/>
        <w:jc w:val="center"/>
        <w:rPr/>
      </w:pPr>
      <w:r>
        <w:rPr/>
        <w:t> </w:t>
      </w:r>
    </w:p>
    <w:p>
      <w:pPr>
        <w:pStyle w:val="TextBody"/>
        <w:bidi w:val="0"/>
        <w:jc w:val="center"/>
        <w:rPr>
          <w:rFonts w:ascii="Aptos;sans-serif" w:hAnsi="Aptos;sans-serif"/>
          <w:i/>
          <w:color w:val="000000"/>
          <w:sz w:val="24"/>
        </w:rPr>
      </w:pPr>
      <w:r>
        <w:rPr>
          <w:rFonts w:ascii="Aptos;sans-serif" w:hAnsi="Aptos;sans-serif"/>
          <w:i/>
          <w:color w:val="000000"/>
          <w:sz w:val="24"/>
        </w:rPr>
        <w:t>Results from the Phase 3 REZILIENT3 trial were featured in a Presidential Symposium at WCLC 2026 and demonstrated a statistically significant improvement in progression-free survival in first-line EGFR exon 20 insertion mutation NSCLC at a planned interim analysis</w:t>
      </w:r>
    </w:p>
    <w:p>
      <w:pPr>
        <w:pStyle w:val="TextBody"/>
        <w:bidi w:val="0"/>
        <w:jc w:val="center"/>
        <w:rPr/>
      </w:pPr>
      <w:r>
        <w:rPr/>
        <w:t> </w:t>
      </w:r>
    </w:p>
    <w:p>
      <w:pPr>
        <w:pStyle w:val="TextBody"/>
        <w:bidi w:val="0"/>
        <w:jc w:val="left"/>
        <w:rPr>
          <w:rFonts w:ascii="Aptos;sans-serif" w:hAnsi="Aptos;sans-serif"/>
          <w:sz w:val="22"/>
        </w:rPr>
      </w:pPr>
      <w:r>
        <w:rPr>
          <w:rFonts w:ascii="Aptos;sans-serif" w:hAnsi="Aptos;sans-serif"/>
          <w:color w:val="000000"/>
          <w:sz w:val="22"/>
        </w:rPr>
        <w:br/>
      </w:r>
      <w:r>
        <w:rPr>
          <w:rFonts w:ascii="Aptos;sans-serif" w:hAnsi="Aptos;sans-serif"/>
          <w:b/>
          <w:color w:val="000000"/>
          <w:sz w:val="24"/>
        </w:rPr>
        <w:t>PRINCETON, N.J., TOKYO, Japan, CAMBRIDGE, Mass., September 13, 2026</w:t>
      </w:r>
      <w:r>
        <w:rPr>
          <w:rFonts w:ascii="Aptos;sans-serif" w:hAnsi="Aptos;sans-serif"/>
          <w:color w:val="000000"/>
          <w:sz w:val="22"/>
        </w:rPr>
        <w:t xml:space="preserve"> — </w:t>
      </w:r>
      <w:r>
        <w:rPr>
          <w:rFonts w:ascii="Aptos;sans-serif" w:hAnsi="Aptos;sans-serif"/>
          <w:color w:val="000000"/>
          <w:sz w:val="24"/>
        </w:rPr>
        <w:t>Taiho Oncology, Inc., Taiho Pharmaceutical Co., Ltd., and Cullinan Therapeutics, Inc. (Nasdaq: CGEM) today announced results from the Phase 3 REZILIENT3 trial evaluating zipalertinib plus chemotherapy versus chemotherapy alone in the first-line treatment of patients with epidermal growth factor receptor (EGFR) exon 20 insertion (ex20ins) mutation-positive non-small cell lung cancer (NSCLC). The data were presented at the International Association for the Study of Lung Cancer's (IASLC) 2026 World Conference on Lung Cancer (WCLC) in Seoul, South Korea.</w:t>
      </w:r>
    </w:p>
    <w:p>
      <w:pPr>
        <w:pStyle w:val="TextBody"/>
        <w:bidi w:val="0"/>
        <w:jc w:val="left"/>
        <w:rPr>
          <w:rFonts w:ascii="Aptos;sans-serif" w:hAnsi="Aptos;sans-serif"/>
          <w:sz w:val="22"/>
        </w:rPr>
      </w:pPr>
      <w:r>
        <w:rPr>
          <w:rFonts w:ascii="Aptos;sans-serif" w:hAnsi="Aptos;sans-serif"/>
          <w:color w:val="000000"/>
          <w:sz w:val="22"/>
        </w:rPr>
        <w:br/>
      </w:r>
      <w:r>
        <w:rPr>
          <w:rFonts w:ascii="Aptos;sans-serif" w:hAnsi="Aptos;sans-serif"/>
          <w:color w:val="000000"/>
          <w:sz w:val="24"/>
        </w:rPr>
        <w:t>As previously announced, REZILIENT3 met its primary endpoint of progression-free survival (PFS). The results released today show that the addition of zipalertinib to platinum-based chemotherapy provided a statistically significant and clinically meaningful median PFS improvement of 6.0 months</w:t>
      </w:r>
      <w:r>
        <w:rPr>
          <w:rFonts w:ascii="Aptos;sans-serif" w:hAnsi="Aptos;sans-serif"/>
          <w:color w:val="000000"/>
          <w:sz w:val="22"/>
        </w:rPr>
        <w:t xml:space="preserve"> </w:t>
      </w:r>
      <w:r>
        <w:rPr>
          <w:rFonts w:ascii="Aptos;sans-serif" w:hAnsi="Aptos;sans-serif"/>
          <w:color w:val="000000"/>
          <w:sz w:val="24"/>
        </w:rPr>
        <w:t>(HR=0.50; 95% CI, 0.34-0.73; P=0.00015) as first-line treatment for advanced NSCLC patients with EGFR ex20ins mutations. At the interim overall survival analysis (30% event maturity), the hazard ratio for death for zipalertinib plus chemotherapy versus chemotherapy was 0.72 (95% CI, 0.42-1.23) with follow up ongoing.</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The combination of zipalertinib plus platinum-based chemotherapy in the REZILIENT3 trial demonstrated a statistically significant and clinically meaningful improvement in progression-free survival for patients with advanced non-small cell lung cancer harboring EGFR exon 20 insertion mutations,” said Helena A. Yu, MD, Thoracic Medical Oncologist at Memorial Sloan Kettering Cancer Center and study investigator. “The combination also produced significantly higher response rates compared with chemotherapy alone. These findings support the potential of zipalertinib plus platinum-based chemotherapy as a first-line treatment option for this patient population. We are grateful to the patients and their families, as well as the investigators whose dedication made these results possible."</w:t>
      </w:r>
    </w:p>
    <w:p>
      <w:pPr>
        <w:pStyle w:val="TextBody"/>
        <w:bidi w:val="0"/>
        <w:jc w:val="right"/>
        <w:rPr>
          <w:rFonts w:ascii="Aptos;sans-serif" w:hAnsi="Aptos;sans-serif"/>
          <w:color w:val="7F7F7F"/>
          <w:sz w:val="20"/>
        </w:rPr>
      </w:pPr>
      <w:r>
        <w:rPr>
          <w:rFonts w:ascii="Aptos;sans-serif" w:hAnsi="Aptos;sans-serif"/>
          <w:color w:val="7F7F7F"/>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These late-breaking results from the planned interim analysis of REZILIENT3 were selected for presentation in the Presidential Symposium 2 at IASLC 2026 WCLC. The Presidential Symposium 2 is a premier plenary session featuring notable advances in lung cancer research and treatment with the potential to change clinical practice.</w:t>
      </w:r>
    </w:p>
    <w:p>
      <w:pPr>
        <w:pStyle w:val="TextBody"/>
        <w:bidi w:val="0"/>
        <w:jc w:val="left"/>
        <w:rPr/>
      </w:pPr>
      <w:r>
        <w:rPr/>
        <w:t> </w:t>
      </w:r>
    </w:p>
    <w:p>
      <w:pPr>
        <w:pStyle w:val="TextBody"/>
        <w:bidi w:val="0"/>
        <w:jc w:val="left"/>
        <w:rPr/>
      </w:pPr>
      <w:r>
        <w:rPr>
          <w:color w:val="000000"/>
        </w:rPr>
        <w:t>“</w:t>
      </w:r>
      <w:r>
        <w:rPr>
          <w:rFonts w:ascii="Aptos;sans-serif" w:hAnsi="Aptos;sans-serif"/>
          <w:color w:val="000000"/>
          <w:sz w:val="24"/>
        </w:rPr>
        <w:t xml:space="preserve">The findings presented add to previously presented single agent zipalertinib data and support the potential of zipalertinib across multiple treatment settings. We are thankful to patients, their families, and caregivers for participation in REZILIENT3,” said Harold Keer, MD, PhD, Chief Medical Officer of Taiho Oncology. “We are excited to discuss these results further with health authorities and collaborate to make zipalertinib available to patients in a timely manner.”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"We believe these results mark a potentially important step forward in the treatment of EGFR exon 20 insertion mutation-positive non-small cell lung cancer,” said Fabio Benedetti, MD, Global Chief Medical Officer, Taiho Pharmaceutical. "To address the unmet medical needs of patients and their families, we will continue working closely with Taiho Oncology and Cullinan to make this treatment available to patients who may benefit from it."</w:t>
      </w:r>
    </w:p>
    <w:p>
      <w:pPr>
        <w:pStyle w:val="TextBody"/>
        <w:bidi w:val="0"/>
        <w:jc w:val="left"/>
        <w:rPr/>
      </w:pPr>
      <w:r>
        <w:rPr/>
        <w:t> </w:t>
      </w:r>
    </w:p>
    <w:p>
      <w:pPr>
        <w:pStyle w:val="TextBody"/>
        <w:bidi w:val="0"/>
        <w:jc w:val="left"/>
        <w:rPr/>
      </w:pPr>
      <w:r>
        <w:rPr>
          <w:color w:val="000000"/>
        </w:rPr>
        <w:t>“</w:t>
      </w:r>
      <w:r>
        <w:rPr>
          <w:rFonts w:ascii="Aptos;sans-serif" w:hAnsi="Aptos;sans-serif"/>
          <w:color w:val="000000"/>
          <w:sz w:val="24"/>
        </w:rPr>
        <w:t xml:space="preserve">The selection of REZILIENT3 for presentation in a Presidential Symposium reflects the importance of these findings for the lung cancer community,” said Jeffrey Jones, MD, MBA, Chief Medical Officer, Cullinan Therapeutics. “The magnitude of progression-free survival benefit, together with improvements in response rates and duration of response seen in REZILIENT3, reinforce the potential for zipalertinib plus chemotherapy to play an important role in the first-line treatment of patients with EGFR exon 20 insertion mutation NSCLC.” </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Summary of Results:</w:t>
      </w:r>
    </w:p>
    <w:p>
      <w:pPr>
        <w:pStyle w:val="TextBody"/>
        <w:bidi w:val="0"/>
        <w:jc w:val="left"/>
        <w:rPr/>
      </w:pPr>
      <w:r>
        <w:rPr/>
        <w:t> </w:t>
      </w:r>
    </w:p>
    <w:p>
      <w:pPr>
        <w:pStyle w:val="TextBody"/>
        <w:bidi w:val="0"/>
        <w:spacing w:before="0" w:after="160"/>
        <w:jc w:val="left"/>
        <w:rPr>
          <w:rFonts w:ascii="Aptos;sans-serif" w:hAnsi="Aptos;sans-serif"/>
          <w:sz w:val="22"/>
        </w:rPr>
      </w:pPr>
      <w:r>
        <w:rPr>
          <w:rFonts w:ascii="Aptos;sans-serif" w:hAnsi="Aptos;sans-serif"/>
          <w:color w:val="000000"/>
          <w:sz w:val="24"/>
        </w:rPr>
        <w:t>After a safety lead-in (n=6), a total of 279 advanced NSCLC patients with EGFR ex20ins and no prior treatment for advanced disease were randomly assigned to receive zipalertinib 100mg BID plus chemotherapy (n=140) or chemotherapy alone (n=139). Baseline characteristics were balanced between the combination and the control arm, including age (66.5 vs. 64 years), sex (65.7% vs. 63.3% female), and brain metastases (31.4% vs. 31.7%), respectively.</w:t>
      </w:r>
      <w:r>
        <w:rPr>
          <w:rFonts w:ascii="Aptos;sans-serif" w:hAnsi="Aptos;sans-serif"/>
          <w:color w:val="000000"/>
          <w:sz w:val="22"/>
        </w:rPr>
        <w:br/>
        <w:br/>
      </w:r>
      <w:r>
        <w:rPr>
          <w:rFonts w:ascii="Aptos;sans-serif" w:hAnsi="Aptos;sans-serif"/>
          <w:color w:val="000000"/>
          <w:sz w:val="24"/>
        </w:rPr>
        <w:t>At the pre-planned interim efficacy analysis after 122 PFS events, treatment with zipalertinib plus chemotherapy led to significantly longer median PFS than chemotherapy alone (14.5 vs. 8.5 months; HR: 0.50; 95% CI 0.34-0.73; P=0.00015). This PFS benefit was consistent across subgroups, including patients with brain metastases (HR: 0.38).</w:t>
      </w:r>
      <w:r>
        <w:rPr>
          <w:rFonts w:ascii="Aptos;sans-serif" w:hAnsi="Aptos;sans-serif"/>
          <w:color w:val="000000"/>
          <w:sz w:val="22"/>
        </w:rPr>
        <w:t xml:space="preserve"> </w:t>
      </w:r>
    </w:p>
    <w:p>
      <w:pPr>
        <w:pStyle w:val="TextBody"/>
        <w:bidi w:val="0"/>
        <w:jc w:val="right"/>
        <w:rPr>
          <w:rFonts w:ascii="Aptos;sans-serif" w:hAnsi="Aptos;sans-serif"/>
          <w:color w:val="7F7F7F"/>
          <w:sz w:val="20"/>
        </w:rPr>
      </w:pPr>
      <w:r>
        <w:rPr>
          <w:rFonts w:ascii="Aptos;sans-serif" w:hAnsi="Aptos;sans-serif"/>
          <w:color w:val="7F7F7F"/>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Aptos;sans-serif" w:hAnsi="Aptos;sans-serif"/>
          <w:sz w:val="22"/>
        </w:rPr>
      </w:pPr>
      <w:r>
        <w:rPr>
          <w:rFonts w:ascii="Aptos;sans-serif" w:hAnsi="Aptos;sans-serif"/>
          <w:color w:val="000000"/>
          <w:sz w:val="22"/>
        </w:rPr>
        <w:br/>
        <w:br/>
      </w:r>
      <w:r>
        <w:rPr>
          <w:rFonts w:ascii="Aptos;sans-serif" w:hAnsi="Aptos;sans-serif"/>
          <w:color w:val="000000"/>
          <w:sz w:val="24"/>
        </w:rPr>
        <w:t>Objective response rate was higher with the combination therapy (65.0% vs. 40.3%; P&lt;0.0001), with a longer median duration of response (14.2 vs. 9.9 months). At the interim overall survival (OS) analysis (30% maturity), the hazard ratio for death for zipalertinib plus chemotherapy as compared with chemotherapy was 0.72 (95% CI, 0.42-1.23). Continued follow-up of REZILIENT3 is ongoing to further characterize the OS benefit and exploratory endpoints (ClinicalTrials.gov number NCT05973773).</w:t>
      </w:r>
      <w:r>
        <w:rPr>
          <w:rFonts w:ascii="Aptos;sans-serif" w:hAnsi="Aptos;sans-serif"/>
          <w:color w:val="000000"/>
          <w:sz w:val="22"/>
        </w:rPr>
        <w:br/>
        <w:t> </w:t>
      </w:r>
    </w:p>
    <w:p>
      <w:pPr>
        <w:pStyle w:val="TextBody"/>
        <w:bidi w:val="0"/>
        <w:jc w:val="left"/>
        <w:rPr>
          <w:rFonts w:ascii="Aptos;sans-serif" w:hAnsi="Aptos;sans-serif"/>
          <w:b/>
          <w:color w:val="000000"/>
          <w:sz w:val="24"/>
        </w:rPr>
      </w:pPr>
      <w:r>
        <w:rPr>
          <w:rFonts w:ascii="Aptos;sans-serif" w:hAnsi="Aptos;sans-serif"/>
          <w:b/>
          <w:color w:val="000000"/>
          <w:sz w:val="24"/>
        </w:rPr>
        <w:t>Summary of Preliminary Safety and Tolerability:</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 observed adverse event (AE) profile of zipalertinib plus chemotherapy was generally consistent with the known safety profiles of the individual agents, and no new safety signals were observed. Grade ≥3 AEs occurred more frequently with the combination (87.1% vs. 54.4%), but these were primarily manageable hematologic AEs (58.6% vs. 28.7%). Grade ≥3 EGFR-related toxicities were infrequent, and those observed only in the combination arm included rash (10.7%) and diarrhea (1.4%).</w:t>
      </w:r>
    </w:p>
    <w:p>
      <w:pPr>
        <w:pStyle w:val="TextBody"/>
        <w:bidi w:val="0"/>
        <w:jc w:val="left"/>
        <w:rPr/>
      </w:pPr>
      <w:r>
        <w:rPr/>
        <w:t> </w:t>
      </w:r>
    </w:p>
    <w:p>
      <w:pPr>
        <w:pStyle w:val="TextBody"/>
        <w:bidi w:val="0"/>
        <w:jc w:val="left"/>
        <w:rPr>
          <w:rFonts w:ascii="Aptos;sans-serif" w:hAnsi="Aptos;sans-serif"/>
          <w:sz w:val="24"/>
        </w:rPr>
      </w:pPr>
      <w:r>
        <w:rPr>
          <w:rFonts w:ascii="Aptos;sans-serif" w:hAnsi="Aptos;sans-serif"/>
          <w:b/>
          <w:color w:val="000000"/>
          <w:sz w:val="24"/>
        </w:rPr>
        <w:t>Session information for the data presentation at WCLC 2026 is listed below</w:t>
      </w:r>
      <w:r>
        <w:rPr>
          <w:rFonts w:ascii="Aptos;sans-serif" w:hAnsi="Aptos;sans-serif"/>
          <w:color w:val="000000"/>
          <w:sz w:val="24"/>
        </w:rPr>
        <w:t xml:space="preserve">: </w:t>
      </w:r>
    </w:p>
    <w:p>
      <w:pPr>
        <w:pStyle w:val="TextBody"/>
        <w:bidi w:val="0"/>
        <w:jc w:val="left"/>
        <w:rPr/>
      </w:pPr>
      <w:r>
        <w:rPr/>
        <w:t> </w:t>
      </w:r>
    </w:p>
    <w:p>
      <w:pPr>
        <w:pStyle w:val="TextBody"/>
        <w:bidi w:val="0"/>
        <w:jc w:val="left"/>
        <w:rPr>
          <w:rFonts w:ascii="Aptos;sans-serif" w:hAnsi="Aptos;sans-serif"/>
          <w:sz w:val="24"/>
        </w:rPr>
      </w:pPr>
      <w:r>
        <w:rPr>
          <w:rFonts w:ascii="Aptos;sans-serif" w:hAnsi="Aptos;sans-serif"/>
          <w:b/>
          <w:color w:val="000000"/>
          <w:sz w:val="24"/>
        </w:rPr>
        <w:t>Title:</w:t>
      </w:r>
      <w:r>
        <w:rPr>
          <w:rFonts w:ascii="Aptos;sans-serif" w:hAnsi="Aptos;sans-serif"/>
          <w:color w:val="000000"/>
          <w:sz w:val="24"/>
        </w:rPr>
        <w:t xml:space="preserve"> </w:t>
      </w:r>
      <w:r>
        <w:rPr>
          <w:rFonts w:ascii="Aptos;sans-serif" w:hAnsi="Aptos;sans-serif"/>
          <w:i/>
          <w:color w:val="000000"/>
          <w:sz w:val="24"/>
        </w:rPr>
        <w:t>Zipalertinib plus Chemotherapy for 1st-line NSCLC with EGFR Exon 20 Insertions: Results from the Phase 3 Trial (REZILIENT3)</w:t>
      </w:r>
    </w:p>
    <w:p>
      <w:pPr>
        <w:pStyle w:val="TextBody"/>
        <w:bidi w:val="0"/>
        <w:jc w:val="left"/>
        <w:rPr>
          <w:rFonts w:ascii="Aptos;sans-serif" w:hAnsi="Aptos;sans-serif"/>
          <w:sz w:val="24"/>
        </w:rPr>
      </w:pPr>
      <w:r>
        <w:rPr>
          <w:rFonts w:ascii="Aptos;sans-serif" w:hAnsi="Aptos;sans-serif"/>
          <w:b/>
          <w:color w:val="000000"/>
          <w:sz w:val="24"/>
        </w:rPr>
        <w:t xml:space="preserve">Presenting Author: </w:t>
      </w:r>
      <w:r>
        <w:rPr>
          <w:rFonts w:ascii="Aptos;sans-serif" w:hAnsi="Aptos;sans-serif"/>
          <w:color w:val="000000"/>
          <w:sz w:val="24"/>
        </w:rPr>
        <w:t>Dr. Daniel Tan Shao Weng, Duke Health, Singapore</w:t>
      </w:r>
    </w:p>
    <w:p>
      <w:pPr>
        <w:pStyle w:val="TextBody"/>
        <w:bidi w:val="0"/>
        <w:jc w:val="left"/>
        <w:rPr>
          <w:rFonts w:ascii="Aptos;sans-serif" w:hAnsi="Aptos;sans-serif"/>
          <w:sz w:val="24"/>
        </w:rPr>
      </w:pPr>
      <w:r>
        <w:rPr>
          <w:rFonts w:ascii="Aptos;sans-serif" w:hAnsi="Aptos;sans-serif"/>
          <w:b/>
          <w:color w:val="000000"/>
          <w:sz w:val="24"/>
        </w:rPr>
        <w:t>Session Name:</w:t>
      </w:r>
      <w:r>
        <w:rPr>
          <w:rFonts w:ascii="Aptos;sans-serif" w:hAnsi="Aptos;sans-serif"/>
          <w:color w:val="000000"/>
          <w:sz w:val="24"/>
        </w:rPr>
        <w:t xml:space="preserve"> PL03 Presidential Symposium 2 Including Lectureship Award Presentations</w:t>
      </w:r>
    </w:p>
    <w:p>
      <w:pPr>
        <w:pStyle w:val="TextBody"/>
        <w:bidi w:val="0"/>
        <w:jc w:val="left"/>
        <w:rPr>
          <w:rFonts w:ascii="Aptos;sans-serif" w:hAnsi="Aptos;sans-serif"/>
          <w:sz w:val="24"/>
        </w:rPr>
      </w:pPr>
      <w:r>
        <w:rPr>
          <w:rFonts w:ascii="Aptos;sans-serif" w:hAnsi="Aptos;sans-serif"/>
          <w:b/>
          <w:color w:val="000000"/>
          <w:sz w:val="24"/>
        </w:rPr>
        <w:t>Session Type:</w:t>
      </w:r>
      <w:r>
        <w:rPr>
          <w:rFonts w:ascii="Aptos;sans-serif" w:hAnsi="Aptos;sans-serif"/>
          <w:color w:val="000000"/>
          <w:sz w:val="24"/>
        </w:rPr>
        <w:t xml:space="preserve"> Presidential Symposium 2, a premier plenary session featuring notable advances in lung cancer research and treatment</w:t>
      </w:r>
    </w:p>
    <w:p>
      <w:pPr>
        <w:pStyle w:val="TextBody"/>
        <w:bidi w:val="0"/>
        <w:jc w:val="left"/>
        <w:rPr>
          <w:rFonts w:ascii="Aptos;sans-serif" w:hAnsi="Aptos;sans-serif"/>
          <w:sz w:val="24"/>
        </w:rPr>
      </w:pPr>
      <w:r>
        <w:rPr>
          <w:rFonts w:ascii="Aptos;sans-serif" w:hAnsi="Aptos;sans-serif"/>
          <w:b/>
          <w:color w:val="000000"/>
          <w:sz w:val="24"/>
        </w:rPr>
        <w:t>Session Date:</w:t>
      </w:r>
      <w:r>
        <w:rPr>
          <w:rFonts w:ascii="Aptos;sans-serif" w:hAnsi="Aptos;sans-serif"/>
          <w:color w:val="000000"/>
          <w:sz w:val="24"/>
        </w:rPr>
        <w:t xml:space="preserve"> Monday, September 14, 2026</w:t>
      </w:r>
    </w:p>
    <w:p>
      <w:pPr>
        <w:pStyle w:val="TextBody"/>
        <w:bidi w:val="0"/>
        <w:jc w:val="left"/>
        <w:rPr>
          <w:rFonts w:ascii="Aptos;sans-serif" w:hAnsi="Aptos;sans-serif"/>
          <w:sz w:val="24"/>
        </w:rPr>
      </w:pPr>
      <w:r>
        <w:rPr>
          <w:rFonts w:ascii="Aptos;sans-serif" w:hAnsi="Aptos;sans-serif"/>
          <w:b/>
          <w:color w:val="000000"/>
          <w:sz w:val="24"/>
        </w:rPr>
        <w:t>Session Time:</w:t>
      </w:r>
      <w:r>
        <w:rPr>
          <w:rFonts w:ascii="Aptos;sans-serif" w:hAnsi="Aptos;sans-serif"/>
          <w:color w:val="000000"/>
          <w:sz w:val="24"/>
        </w:rPr>
        <w:t xml:space="preserve"> 8 a.m. KST </w:t>
      </w:r>
    </w:p>
    <w:p>
      <w:pPr>
        <w:pStyle w:val="TextBody"/>
        <w:bidi w:val="0"/>
        <w:jc w:val="left"/>
        <w:rPr>
          <w:rFonts w:ascii="Aptos;sans-serif" w:hAnsi="Aptos;sans-serif"/>
          <w:sz w:val="24"/>
        </w:rPr>
      </w:pPr>
      <w:r>
        <w:rPr>
          <w:rFonts w:ascii="Aptos;sans-serif" w:hAnsi="Aptos;sans-serif"/>
          <w:b/>
          <w:color w:val="000000"/>
          <w:sz w:val="24"/>
        </w:rPr>
        <w:t>Location:</w:t>
      </w:r>
      <w:r>
        <w:rPr>
          <w:rFonts w:ascii="Aptos;sans-serif" w:hAnsi="Aptos;sans-serif"/>
          <w:color w:val="000000"/>
          <w:sz w:val="24"/>
        </w:rPr>
        <w:t xml:space="preserve"> Plenary, Hall D2, 3F</w:t>
      </w:r>
    </w:p>
    <w:p>
      <w:pPr>
        <w:pStyle w:val="TextBody"/>
        <w:bidi w:val="0"/>
        <w:jc w:val="left"/>
        <w:rPr/>
      </w:pPr>
      <w:r>
        <w:rPr/>
        <w:t> </w:t>
      </w:r>
    </w:p>
    <w:p>
      <w:pPr>
        <w:pStyle w:val="TextBody"/>
        <w:bidi w:val="0"/>
        <w:jc w:val="left"/>
        <w:rPr>
          <w:rFonts w:ascii="Aptos;sans-serif" w:hAnsi="Aptos;sans-serif"/>
          <w:sz w:val="24"/>
        </w:rPr>
      </w:pPr>
      <w:r>
        <w:rPr>
          <w:rFonts w:ascii="Aptos;sans-serif" w:hAnsi="Aptos;sans-serif"/>
          <w:b/>
          <w:color w:val="000000"/>
          <w:sz w:val="24"/>
        </w:rPr>
        <w:t>About the REZILIENT3 Trial</w:t>
        <w:br/>
      </w:r>
      <w:r>
        <w:rPr>
          <w:rFonts w:ascii="Aptos;sans-serif" w:hAnsi="Aptos;sans-serif"/>
          <w:color w:val="000000"/>
          <w:sz w:val="24"/>
        </w:rPr>
        <w:br/>
        <w:t xml:space="preserve">This multicenter, randomized, controlled, open-label global trial enrolled 285 adults with previously untreated, locally advanced or metastatic non-squamous NSCLC with EGFR exon 20 insertion mutations. The primary objective of this trial is to assess progression-free survival in the zipalertinib plus chemotherapy arm versus the chemotherapy arm. </w:t>
        <w:br/>
        <w:br/>
      </w:r>
      <w:r>
        <w:rPr>
          <w:rFonts w:ascii="Aptos;sans-serif" w:hAnsi="Aptos;sans-serif"/>
          <w:b/>
          <w:color w:val="000000"/>
          <w:sz w:val="24"/>
        </w:rPr>
        <w:t>About Zipalertinib</w:t>
      </w:r>
    </w:p>
    <w:p>
      <w:pPr>
        <w:pStyle w:val="TextBody"/>
        <w:bidi w:val="0"/>
        <w:jc w:val="right"/>
        <w:rPr>
          <w:rFonts w:ascii="Aptos;sans-serif" w:hAnsi="Aptos;sans-serif"/>
          <w:color w:val="7F7F7F"/>
          <w:sz w:val="20"/>
        </w:rPr>
      </w:pPr>
      <w:r>
        <w:rPr>
          <w:rFonts w:ascii="Aptos;sans-serif" w:hAnsi="Aptos;sans-serif"/>
          <w:color w:val="7F7F7F"/>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Zipalertinib (development code: CLN-081/TAS6417) is an orally available small molecule designed to target activating mutations in EGFR. The molecule was selected because of its ability to inhibit EGFR variants with exon 20 insertion mutations. Zipalertinib is designed as a next generation, irreversible EGFR inhibitor for the treatment of a genetically defined subset of patients with non-small cell lung cancer. Zipalertinib is investigational and has not been approved by any health authority.</w:t>
      </w:r>
    </w:p>
    <w:p>
      <w:pPr>
        <w:pStyle w:val="TextBody"/>
        <w:bidi w:val="0"/>
        <w:jc w:val="left"/>
        <w:rPr>
          <w:rFonts w:ascii="Aptos;sans-serif" w:hAnsi="Aptos;sans-serif"/>
          <w:color w:val="000000"/>
          <w:sz w:val="24"/>
        </w:rPr>
      </w:pPr>
      <w:r>
        <w:rPr>
          <w:rFonts w:ascii="Aptos;sans-serif" w:hAnsi="Aptos;sans-serif"/>
          <w:color w:val="000000"/>
          <w:sz w:val="24"/>
        </w:rPr>
        <w:t>Zipalertinib is being developed by Taiho Oncology, Inc., its parent company, Taiho Pharmaceutical Co., Ltd., and in collaboration with Cullinan Therapeutics, Inc. in the U.S.</w:t>
      </w:r>
    </w:p>
    <w:p>
      <w:pPr>
        <w:pStyle w:val="TextBody"/>
        <w:bidi w:val="0"/>
        <w:jc w:val="left"/>
        <w:rPr>
          <w:rFonts w:ascii="Aptos;sans-serif" w:hAnsi="Aptos;sans-serif"/>
          <w:b/>
          <w:color w:val="000000"/>
          <w:sz w:val="24"/>
        </w:rPr>
      </w:pPr>
      <w:r>
        <w:rPr>
          <w:rFonts w:ascii="Aptos;sans-serif" w:hAnsi="Aptos;sans-serif"/>
          <w:b/>
          <w:color w:val="000000"/>
          <w:sz w:val="24"/>
        </w:rPr>
        <w:t>About EGFR Exon 20 Insertion Mutations</w:t>
      </w:r>
    </w:p>
    <w:p>
      <w:pPr>
        <w:pStyle w:val="TextBody"/>
        <w:bidi w:val="0"/>
        <w:spacing w:lineRule="auto" w:line="360"/>
        <w:jc w:val="left"/>
        <w:rPr>
          <w:rFonts w:ascii="Aptos;sans-serif" w:hAnsi="Aptos;sans-serif"/>
          <w:sz w:val="16"/>
        </w:rPr>
      </w:pPr>
      <w:r>
        <w:rPr>
          <w:rFonts w:ascii="Aptos;sans-serif" w:hAnsi="Aptos;sans-serif"/>
          <w:color w:val="000000"/>
          <w:sz w:val="24"/>
        </w:rPr>
        <w:t>NSCLC is a common form of lung cancer and up to 4% of all cases globally have EGFR ex20ins.</w:t>
      </w:r>
      <w:r>
        <w:rPr>
          <w:rFonts w:ascii="Aptos;sans-serif" w:hAnsi="Aptos;sans-serif"/>
          <w:color w:val="000000"/>
          <w:sz w:val="16"/>
        </w:rPr>
        <w:t xml:space="preserve">1 </w:t>
      </w:r>
      <w:r>
        <w:rPr>
          <w:rFonts w:ascii="Aptos;sans-serif" w:hAnsi="Aptos;sans-serif"/>
          <w:color w:val="000000"/>
          <w:sz w:val="24"/>
        </w:rPr>
        <w:t>In the United States, approximately 16% of patients with NSCLC harbor EGFR mutations,</w:t>
      </w:r>
      <w:r>
        <w:rPr>
          <w:rFonts w:ascii="Aptos;sans-serif" w:hAnsi="Aptos;sans-serif"/>
          <w:color w:val="000000"/>
          <w:sz w:val="16"/>
        </w:rPr>
        <w:t xml:space="preserve">1 </w:t>
      </w:r>
      <w:r>
        <w:rPr>
          <w:rFonts w:ascii="Aptos;sans-serif" w:hAnsi="Aptos;sans-serif"/>
          <w:color w:val="000000"/>
          <w:sz w:val="24"/>
        </w:rPr>
        <w:t>with insertions at exon 20 accounting for up to 12% of these mutations.</w:t>
      </w:r>
      <w:r>
        <w:rPr>
          <w:rFonts w:ascii="Aptos;sans-serif" w:hAnsi="Aptos;sans-serif"/>
          <w:color w:val="000000"/>
          <w:sz w:val="16"/>
        </w:rPr>
        <w:t>2</w:t>
      </w:r>
    </w:p>
    <w:p>
      <w:pPr>
        <w:pStyle w:val="TextBody"/>
        <w:bidi w:val="0"/>
        <w:jc w:val="left"/>
        <w:rPr>
          <w:rFonts w:ascii="Aptos;sans-serif" w:hAnsi="Aptos;sans-serif"/>
          <w:b/>
          <w:color w:val="000000"/>
          <w:sz w:val="24"/>
        </w:rPr>
      </w:pPr>
      <w:r>
        <w:rPr>
          <w:rFonts w:ascii="Aptos;sans-serif" w:hAnsi="Aptos;sans-serif"/>
          <w:b/>
          <w:color w:val="000000"/>
          <w:sz w:val="24"/>
        </w:rPr>
        <w:t>About Taiho Oncology, Inc.</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 mission of Taiho Oncology, Inc. is to improve the lives of patients with cancer, their families and their caregivers. The company specializes in the development and commercialization of orally administered anti-cancer agents for various tumor types. Taiho Oncology has a robust pipeline of small-molecule clinical candidates targeting solid-tumor and hematological malignancies, with additional candidates in pre-clinical development. Taiho Oncology is a subsidiary of Taiho Pharmaceutical Co., Ltd. which is part of Otsuka Holdings Co., Ltd. Taiho Oncology is headquartered in Princeton, New Jersey and oversees its parent company’s European and Canadian operations, which are located in Baar, Switzerland and Oakville, Ontario, Canada.</w:t>
      </w:r>
    </w:p>
    <w:p>
      <w:pPr>
        <w:pStyle w:val="TextBody"/>
        <w:bidi w:val="0"/>
        <w:jc w:val="left"/>
        <w:rPr/>
      </w:pPr>
      <w:r>
        <w:rPr/>
        <w:t> </w:t>
      </w:r>
    </w:p>
    <w:p>
      <w:pPr>
        <w:pStyle w:val="TextBody"/>
        <w:bidi w:val="0"/>
        <w:jc w:val="left"/>
        <w:rPr>
          <w:rFonts w:ascii="Aptos;sans-serif" w:hAnsi="Aptos;sans-serif"/>
          <w:sz w:val="24"/>
        </w:rPr>
      </w:pPr>
      <w:r>
        <w:rPr>
          <w:rFonts w:ascii="Aptos;sans-serif" w:hAnsi="Aptos;sans-serif"/>
          <w:color w:val="000000"/>
          <w:sz w:val="24"/>
        </w:rPr>
        <w:t xml:space="preserve">For more information, visit </w:t>
      </w:r>
      <w:r>
        <w:rPr>
          <w:rFonts w:ascii="Aptos;sans-serif" w:hAnsi="Aptos;sans-serif"/>
          <w:sz w:val="24"/>
        </w:rPr>
        <w:t>https://www.taihooncology.com/</w:t>
      </w:r>
      <w:r>
        <w:rPr>
          <w:rFonts w:ascii="Aptos;sans-serif" w:hAnsi="Aptos;sans-serif"/>
          <w:color w:val="000000"/>
          <w:sz w:val="24"/>
        </w:rPr>
        <w:t xml:space="preserve">, and follow us on </w:t>
      </w:r>
      <w:r>
        <w:rPr>
          <w:rFonts w:ascii="Aptos;sans-serif" w:hAnsi="Aptos;sans-serif"/>
          <w:sz w:val="24"/>
        </w:rPr>
        <w:t>LinkedIn</w:t>
      </w:r>
      <w:r>
        <w:rPr>
          <w:rFonts w:ascii="Aptos;sans-serif" w:hAnsi="Aptos;sans-serif"/>
          <w:color w:val="000000"/>
          <w:sz w:val="24"/>
        </w:rPr>
        <w:t xml:space="preserve"> and </w:t>
      </w:r>
      <w:r>
        <w:rPr>
          <w:rFonts w:ascii="Aptos;sans-serif" w:hAnsi="Aptos;sans-serif"/>
          <w:sz w:val="24"/>
        </w:rPr>
        <w:t>X.</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Taiho Oncology and the Taiho Oncology logo are registered trademarks of Taiho Pharmaceutical Co., Ltd.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About Taiho Pharmaceutical Co., Ltd. (Japan)</w:t>
      </w:r>
    </w:p>
    <w:p>
      <w:pPr>
        <w:pStyle w:val="TextBody"/>
        <w:bidi w:val="0"/>
        <w:jc w:val="left"/>
        <w:rPr/>
      </w:pPr>
      <w:r>
        <w:rPr/>
        <w:t> </w:t>
      </w:r>
    </w:p>
    <w:p>
      <w:pPr>
        <w:pStyle w:val="TextBody"/>
        <w:bidi w:val="0"/>
        <w:jc w:val="left"/>
        <w:rPr>
          <w:rFonts w:ascii="Aptos;sans-serif" w:hAnsi="Aptos;sans-serif"/>
          <w:sz w:val="24"/>
        </w:rPr>
      </w:pPr>
      <w:r>
        <w:rPr>
          <w:rFonts w:ascii="Aptos;sans-serif" w:hAnsi="Aptos;sans-serif"/>
          <w:color w:val="000000"/>
          <w:sz w:val="24"/>
        </w:rPr>
        <w:t>Taiho Pharmaceutical, a subsidiary of Otsuka Holdings Co., Ltd. (</w:t>
      </w:r>
      <w:r>
        <w:rPr>
          <w:rFonts w:ascii="Aptos;sans-serif" w:hAnsi="Aptos;sans-serif"/>
          <w:sz w:val="24"/>
        </w:rPr>
        <w:t>https://www.otsuka.com/en/</w:t>
      </w:r>
      <w:r>
        <w:rPr>
          <w:rFonts w:ascii="Aptos;sans-serif" w:hAnsi="Aptos;sans-serif"/>
          <w:color w:val="000000"/>
          <w:sz w:val="24"/>
        </w:rPr>
        <w:t xml:space="preserve">), is an R&amp;D-driven specialty pharma focusing on the fields of oncology and immune-related diseases. Its corporate philosophy takes the form of a pledge: “We strive to improve human health and contribute to a society enriched by </w:t>
      </w:r>
    </w:p>
    <w:p>
      <w:pPr>
        <w:pStyle w:val="TextBody"/>
        <w:bidi w:val="0"/>
        <w:jc w:val="right"/>
        <w:rPr>
          <w:rFonts w:ascii="Aptos;sans-serif" w:hAnsi="Aptos;sans-serif"/>
          <w:color w:val="7F7F7F"/>
          <w:sz w:val="20"/>
        </w:rPr>
      </w:pPr>
      <w:r>
        <w:rPr>
          <w:rFonts w:ascii="Aptos;sans-serif" w:hAnsi="Aptos;sans-serif"/>
          <w:color w:val="7F7F7F"/>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sz w:val="24"/>
        </w:rPr>
      </w:pPr>
      <w:r>
        <w:rPr>
          <w:rFonts w:ascii="Aptos;sans-serif" w:hAnsi="Aptos;sans-serif"/>
          <w:color w:val="000000"/>
          <w:sz w:val="24"/>
        </w:rPr>
        <w:t xml:space="preserve">smiles.” In the field of oncology, in particular, Taiho Pharmaceutical is known as a leading company in Japan for developing innovative medicines for the treatment of cancer, a reputation that is rapidly expanding through their extensive global R&amp;D efforts. In areas other than oncology, as well, the company creates and markets quality products that effectively treat medical conditions and can help improve people’s quality of life. Always putting customers first, Taiho Pharmaceutical also aims to offer consumer healthcare products that support people’s efforts to lead fulfilling and rewarding lives. For more information about Taiho Pharmaceutical, please visit </w:t>
      </w:r>
      <w:r>
        <w:rPr>
          <w:rFonts w:ascii="Aptos;sans-serif" w:hAnsi="Aptos;sans-serif"/>
          <w:sz w:val="24"/>
        </w:rPr>
        <w:t>https://www.taiho.co.jp/en</w:t>
      </w:r>
      <w:r>
        <w:rPr>
          <w:rFonts w:ascii="Aptos;sans-serif" w:hAnsi="Aptos;sans-serif"/>
          <w:color w:val="000000"/>
          <w:sz w:val="24"/>
        </w:rPr>
        <w:t>.</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About Cullinan Therapeutics</w:t>
      </w:r>
    </w:p>
    <w:p>
      <w:pPr>
        <w:pStyle w:val="TextBody"/>
        <w:bidi w:val="0"/>
        <w:jc w:val="left"/>
        <w:rPr/>
      </w:pPr>
      <w:r>
        <w:rPr/>
        <w:t> </w:t>
      </w:r>
    </w:p>
    <w:p>
      <w:pPr>
        <w:pStyle w:val="TextBody"/>
        <w:bidi w:val="0"/>
        <w:spacing w:before="0" w:after="160"/>
        <w:jc w:val="left"/>
        <w:rPr>
          <w:rFonts w:ascii="Aptos;sans-serif" w:hAnsi="Aptos;sans-serif"/>
          <w:sz w:val="24"/>
        </w:rPr>
      </w:pPr>
      <w:r>
        <w:rPr>
          <w:rFonts w:ascii="Aptos;sans-serif" w:hAnsi="Aptos;sans-serif"/>
          <w:sz w:val="24"/>
        </w:rPr>
        <w:t>Cullinan Therapeutics, Inc.</w:t>
      </w:r>
      <w:r>
        <w:rPr>
          <w:rFonts w:ascii="Aptos;sans-serif" w:hAnsi="Aptos;sans-serif"/>
          <w:color w:val="000000"/>
          <w:sz w:val="24"/>
        </w:rPr>
        <w:t xml:space="preserve"> (Nasdaq: CGEM) is a biopharmaceutical company developing potential first- or best-in-class, disease-modifying T cell engagers for autoimmune diseases and cancer. Cullinan pursues promising therapeutic targets while leveraging core expertise in T cell engagers, which are established in oncology and are now advancing into autoimmune diseases. With a clinical-stage pipeline built on a rigorous scientific approach and purposeful innovation, Cullinan is advancing its mission to deliver new standards of care for patients. Learn more about Cullinan at </w:t>
      </w:r>
      <w:r>
        <w:rPr>
          <w:rFonts w:ascii="Aptos;sans-serif" w:hAnsi="Aptos;sans-serif"/>
          <w:sz w:val="24"/>
        </w:rPr>
        <w:t>https://cullinantherapeutics.com/</w:t>
      </w:r>
      <w:r>
        <w:rPr>
          <w:rFonts w:ascii="Aptos;sans-serif" w:hAnsi="Aptos;sans-serif"/>
          <w:color w:val="000000"/>
          <w:sz w:val="24"/>
        </w:rPr>
        <w:t xml:space="preserve">, and follow Cullinan on </w:t>
      </w:r>
      <w:r>
        <w:rPr>
          <w:rFonts w:ascii="Aptos;sans-serif" w:hAnsi="Aptos;sans-serif"/>
          <w:sz w:val="24"/>
        </w:rPr>
        <w:t>LinkedIn</w:t>
      </w:r>
      <w:r>
        <w:rPr>
          <w:rFonts w:ascii="Aptos;sans-serif" w:hAnsi="Aptos;sans-serif"/>
          <w:color w:val="000000"/>
          <w:sz w:val="24"/>
        </w:rPr>
        <w:t xml:space="preserve"> and </w:t>
      </w:r>
      <w:r>
        <w:rPr>
          <w:rFonts w:ascii="Aptos;sans-serif" w:hAnsi="Aptos;sans-serif"/>
          <w:sz w:val="24"/>
        </w:rPr>
        <w:t>X</w:t>
      </w:r>
      <w:r>
        <w:rPr>
          <w:rFonts w:ascii="Aptos;sans-serif" w:hAnsi="Aptos;sans-serif"/>
          <w:color w:val="000000"/>
          <w:sz w:val="24"/>
        </w:rPr>
        <w:t>.</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Forward-Looking Statements</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 xml:space="preserve">This press release contains forward-looking statements within the meaning of The Private Securities Litigation Reform Act of 1995. These forward-looking statements include, but are not limited to, express or implied statements regarding the company’s beliefs and expectations regarding the clinical development of zipalertinib, the safety and efficacy profile of zipalertinib and its potential to address unmet medical need, the potential of zipalertinib to become a first-line treatment option and other statements that are not historical facts. The words “believe,” “continue,” “could,” “estimate,” “expect,” “intends,” “may,” “plan,” “potential,” “project,” “pursue,” “will,” and similar expressions are intended to identify forward-looking statements, although not all forward-looking statements contain these identifying words.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 xml:space="preserve">Any forward-looking statements in this press release are based on management's current expectations and beliefs of future events and are subject to known and unknown risks and uncertainties that may cause our actual results, performance or achievements to be materially different from any future results, performance or achievements expressed or implied by the forward-looking statements. These risks include, but are not limited to, the following: uncertainty regarding the timing and results of clinical trial data and regulatory </w:t>
      </w:r>
    </w:p>
    <w:p>
      <w:pPr>
        <w:pStyle w:val="TextBody"/>
        <w:bidi w:val="0"/>
        <w:jc w:val="right"/>
        <w:rPr>
          <w:rFonts w:ascii="Aptos;sans-serif" w:hAnsi="Aptos;sans-serif"/>
          <w:color w:val="7F7F7F"/>
          <w:sz w:val="20"/>
        </w:rPr>
      </w:pPr>
      <w:r>
        <w:rPr>
          <w:rFonts w:ascii="Aptos;sans-serif" w:hAnsi="Aptos;sans-serif"/>
          <w:color w:val="7F7F7F"/>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sz w:val="24"/>
        </w:rPr>
      </w:pPr>
      <w:r>
        <w:rPr>
          <w:rFonts w:ascii="Aptos;sans-serif" w:hAnsi="Aptos;sans-serif"/>
          <w:color w:val="000000"/>
          <w:sz w:val="24"/>
        </w:rPr>
        <w:t>submissions; the risk that any NDAs, INDs or other global regulatory submissions we may file with the United States Food and Drug Administration or other global regulatory agencies are not accepted or cleared on our expected timelines, or at all; the success of our clinical trials and preclinical studies; the risks related to our ability to protect and maintain our intellectual property position; the risks related to manufacturing, supply, and distribution of our product candidates; the risk that any one or more of our product candidates, including those that are co-developed, will not be successfully developed and commercialized; the risk that the results of preclinical studies or clinical trials will not be predictive of future results in connection with future studies or clinical trials;</w:t>
      </w:r>
      <w:r>
        <w:rPr>
          <w:rFonts w:ascii="Aptos;sans-serif" w:hAnsi="Aptos;sans-serif"/>
          <w:color w:val="58595B"/>
          <w:sz w:val="24"/>
        </w:rPr>
        <w:t xml:space="preserve"> </w:t>
      </w:r>
      <w:r>
        <w:rPr>
          <w:rFonts w:ascii="Aptos;sans-serif" w:hAnsi="Aptos;sans-serif"/>
          <w:color w:val="000000"/>
          <w:sz w:val="24"/>
        </w:rPr>
        <w:t>the effect of changes in global economic conditions, including uncertainties related to international trade policies, tariffs and supply chain dynamics on our business and operations; and the success of any collaboration, partnership, license or similar agreements. These and other important risks and uncertainties discussed in our filings with the Securities and Exchange Commission, including under the caption “Risk Factors” in our most recent Annual Report on Form 10-K and subsequent filings with the SEC, could cause actual results to differ materially from those indicated by the forward-looking statements made in this press release. While we may elect to update such forward-looking statements at some point in the future, we disclaim any obligation to do so, even if subsequent events cause our views to change, except to the extent required by law. These forward-looking statements should not be relied upon as representing our views as of any date subsequent to the date of this press release. Moreover, except as required by law, neither the company nor any other person assumes responsibility for the accuracy and completeness of the forward-looking statements included in this press release. Any forward-looking statement included in this press release speaks only as of the date on which it was made.</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Contacts</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Taiho Oncology</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Leigh Labrie</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+1 609.664.9878</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 xml:space="preserve">llabrie@taihooncology.com </w:t>
      </w:r>
    </w:p>
    <w:p>
      <w:pPr>
        <w:pStyle w:val="TextBody"/>
        <w:bidi w:val="0"/>
        <w:jc w:val="left"/>
        <w:rPr/>
      </w:pPr>
      <w:r>
        <w:rPr/>
        <w:t> </w:t>
      </w:r>
    </w:p>
    <w:p>
      <w:pPr>
        <w:pStyle w:val="TextBody"/>
        <w:bidi w:val="0"/>
        <w:jc w:val="left"/>
        <w:rPr>
          <w:rFonts w:ascii="Aptos;sans-serif" w:hAnsi="Aptos;sans-serif"/>
          <w:sz w:val="24"/>
        </w:rPr>
      </w:pPr>
      <w:r>
        <w:rPr>
          <w:rFonts w:ascii="Aptos;sans-serif" w:hAnsi="Aptos;sans-serif"/>
          <w:b/>
          <w:color w:val="000000"/>
          <w:sz w:val="24"/>
        </w:rPr>
        <w:t>Taiho Pharmaceutical Co., Ltd.</w:t>
      </w:r>
      <w:r>
        <w:rPr>
          <w:rFonts w:ascii="Aptos;sans-serif" w:hAnsi="Aptos;sans-serif"/>
          <w:color w:val="000000"/>
          <w:sz w:val="24"/>
        </w:rPr>
        <w:t xml:space="preserve">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Junko Onishi</w:t>
      </w:r>
    </w:p>
    <w:p>
      <w:pPr>
        <w:pStyle w:val="TextBody"/>
        <w:bidi w:val="0"/>
        <w:jc w:val="left"/>
        <w:rPr/>
      </w:pPr>
      <w:r>
        <w:rPr/>
        <w:t> </w:t>
      </w:r>
    </w:p>
    <w:p>
      <w:pPr>
        <w:pStyle w:val="TextBody"/>
        <w:bidi w:val="0"/>
        <w:jc w:val="right"/>
        <w:rPr>
          <w:rFonts w:ascii="Aptos;sans-serif" w:hAnsi="Aptos;sans-serif"/>
          <w:color w:val="7F7F7F"/>
          <w:sz w:val="20"/>
        </w:rPr>
      </w:pPr>
      <w:r>
        <w:rPr>
          <w:rFonts w:ascii="Aptos;sans-serif" w:hAnsi="Aptos;sans-serif"/>
          <w:color w:val="7F7F7F"/>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 xml:space="preserve">+81-80-1009-7683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junn-onishi@taiho.co.jp</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Cullinan Therapeutics</w:t>
      </w:r>
    </w:p>
    <w:p>
      <w:pPr>
        <w:pStyle w:val="TextBody"/>
        <w:bidi w:val="0"/>
        <w:jc w:val="left"/>
        <w:rPr/>
      </w:pPr>
      <w:r>
        <w:rPr/>
        <w:t> </w:t>
      </w:r>
    </w:p>
    <w:p>
      <w:pPr>
        <w:pStyle w:val="TextBody"/>
        <w:bidi w:val="0"/>
        <w:jc w:val="left"/>
        <w:rPr>
          <w:rFonts w:ascii="Times New Roman" w:hAnsi="Times New Roman"/>
          <w:sz w:val="24"/>
        </w:rPr>
      </w:pPr>
      <w:r>
        <w:rPr>
          <w:rFonts w:ascii="Aptos;sans-serif" w:hAnsi="Aptos;sans-serif"/>
          <w:b/>
          <w:color w:val="000000"/>
          <w:sz w:val="24"/>
        </w:rPr>
        <w:t>Investors</w:t>
      </w:r>
      <w:r>
        <w:rPr>
          <w:rFonts w:ascii="Times New Roman" w:hAnsi="Times New Roman"/>
          <w:color w:val="000000"/>
          <w:sz w:val="24"/>
        </w:rPr>
        <w:t xml:space="preserve">  </w:t>
      </w:r>
    </w:p>
    <w:p>
      <w:pPr>
        <w:pStyle w:val="TextBody"/>
        <w:bidi w:val="0"/>
        <w:jc w:val="left"/>
        <w:rPr>
          <w:rFonts w:ascii="Times New Roman" w:hAnsi="Times New Roman"/>
          <w:sz w:val="24"/>
        </w:rPr>
      </w:pPr>
      <w:r>
        <w:rPr>
          <w:rFonts w:ascii="Aptos;sans-serif" w:hAnsi="Aptos;sans-serif"/>
          <w:color w:val="000000"/>
          <w:sz w:val="24"/>
        </w:rPr>
        <w:br/>
        <w:t>Nick Smith</w:t>
      </w:r>
      <w:r>
        <w:rPr>
          <w:rFonts w:ascii="Times New Roman" w:hAnsi="Times New Roman"/>
          <w:color w:val="000000"/>
          <w:sz w:val="24"/>
        </w:rPr>
        <w:t xml:space="preserve">  </w:t>
      </w:r>
    </w:p>
    <w:p>
      <w:pPr>
        <w:pStyle w:val="TextBody"/>
        <w:bidi w:val="0"/>
        <w:jc w:val="left"/>
        <w:rPr>
          <w:rFonts w:ascii="Times New Roman" w:hAnsi="Times New Roman"/>
          <w:sz w:val="24"/>
        </w:rPr>
      </w:pPr>
      <w:r>
        <w:rPr>
          <w:rFonts w:ascii="Aptos;sans-serif" w:hAnsi="Aptos;sans-serif"/>
          <w:color w:val="000000"/>
          <w:sz w:val="24"/>
        </w:rPr>
        <w:br/>
        <w:t>+1 401.241.3516</w:t>
      </w:r>
      <w:r>
        <w:rPr>
          <w:rFonts w:ascii="Times New Roman" w:hAnsi="Times New Roman"/>
          <w:color w:val="000000"/>
          <w:sz w:val="24"/>
        </w:rPr>
        <w:t xml:space="preserve">  </w:t>
      </w:r>
    </w:p>
    <w:p>
      <w:pPr>
        <w:pStyle w:val="TextBody"/>
        <w:bidi w:val="0"/>
        <w:jc w:val="left"/>
        <w:rPr>
          <w:rFonts w:ascii="Aptos;sans-serif" w:hAnsi="Aptos;sans-serif"/>
          <w:color w:val="000000"/>
          <w:sz w:val="24"/>
        </w:rPr>
      </w:pPr>
      <w:r>
        <w:rPr>
          <w:rFonts w:ascii="Aptos;sans-serif" w:hAnsi="Aptos;sans-serif"/>
          <w:color w:val="000000"/>
          <w:sz w:val="24"/>
        </w:rPr>
        <w:br/>
        <w:t>nsmith@cullinantx.com</w:t>
      </w:r>
    </w:p>
    <w:p>
      <w:pPr>
        <w:pStyle w:val="TextBody"/>
        <w:bidi w:val="0"/>
        <w:jc w:val="left"/>
        <w:rPr/>
      </w:pPr>
      <w:r>
        <w:rPr/>
        <w:t> </w:t>
      </w:r>
    </w:p>
    <w:p>
      <w:pPr>
        <w:pStyle w:val="TextBody"/>
        <w:bidi w:val="0"/>
        <w:jc w:val="left"/>
        <w:rPr>
          <w:rFonts w:ascii="Times New Roman" w:hAnsi="Times New Roman"/>
          <w:sz w:val="24"/>
        </w:rPr>
      </w:pPr>
      <w:r>
        <w:rPr>
          <w:rFonts w:ascii="Aptos;sans-serif" w:hAnsi="Aptos;sans-serif"/>
          <w:b/>
          <w:color w:val="000000"/>
          <w:sz w:val="24"/>
        </w:rPr>
        <w:t>Media</w:t>
      </w:r>
      <w:r>
        <w:rPr>
          <w:rFonts w:ascii="Times New Roman" w:hAnsi="Times New Roman"/>
          <w:color w:val="000000"/>
          <w:sz w:val="24"/>
        </w:rPr>
        <w:t> </w:t>
      </w:r>
    </w:p>
    <w:p>
      <w:pPr>
        <w:pStyle w:val="TextBody"/>
        <w:bidi w:val="0"/>
        <w:jc w:val="left"/>
        <w:rPr>
          <w:rFonts w:ascii="Times New Roman" w:hAnsi="Times New Roman"/>
          <w:sz w:val="24"/>
        </w:rPr>
      </w:pPr>
      <w:r>
        <w:rPr>
          <w:rFonts w:ascii="Aptos;sans-serif" w:hAnsi="Aptos;sans-serif"/>
          <w:color w:val="000000"/>
          <w:sz w:val="24"/>
        </w:rPr>
        <w:br/>
        <w:t>Rose Weldon</w:t>
      </w:r>
      <w:r>
        <w:rPr>
          <w:rFonts w:ascii="Times New Roman" w:hAnsi="Times New Roman"/>
          <w:color w:val="000000"/>
          <w:sz w:val="24"/>
        </w:rPr>
        <w:t>  </w:t>
      </w:r>
    </w:p>
    <w:p>
      <w:pPr>
        <w:pStyle w:val="TextBody"/>
        <w:bidi w:val="0"/>
        <w:jc w:val="left"/>
        <w:rPr>
          <w:rFonts w:ascii="Times New Roman" w:hAnsi="Times New Roman"/>
          <w:sz w:val="24"/>
        </w:rPr>
      </w:pPr>
      <w:r>
        <w:rPr>
          <w:rFonts w:ascii="Aptos;sans-serif" w:hAnsi="Aptos;sans-serif"/>
          <w:color w:val="000000"/>
          <w:sz w:val="24"/>
        </w:rPr>
        <w:br/>
        <w:t>+1 215.801.7644</w:t>
      </w:r>
      <w:r>
        <w:rPr>
          <w:rFonts w:ascii="Times New Roman" w:hAnsi="Times New Roman"/>
          <w:color w:val="000000"/>
          <w:sz w:val="24"/>
        </w:rPr>
        <w:t xml:space="preserve">   </w:t>
      </w:r>
    </w:p>
    <w:p>
      <w:pPr>
        <w:pStyle w:val="TextBody"/>
        <w:bidi w:val="0"/>
        <w:jc w:val="left"/>
        <w:rPr>
          <w:rFonts w:ascii="Aptos;sans-serif" w:hAnsi="Aptos;sans-serif"/>
          <w:color w:val="000000"/>
          <w:sz w:val="24"/>
        </w:rPr>
      </w:pPr>
      <w:r>
        <w:rPr>
          <w:rFonts w:ascii="Aptos;sans-serif" w:hAnsi="Aptos;sans-serif"/>
          <w:color w:val="000000"/>
          <w:sz w:val="24"/>
        </w:rPr>
        <w:br/>
        <w:t>rweldon@cullinantx.com</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References</w:t>
      </w:r>
    </w:p>
    <w:p>
      <w:pPr>
        <w:pStyle w:val="TextBody"/>
        <w:bidi w:val="0"/>
        <w:spacing w:before="0" w:after="0"/>
        <w:jc w:val="left"/>
        <w:rPr>
          <w:rFonts w:ascii="Aptos;sans-serif" w:hAnsi="Aptos;sans-serif"/>
          <w:color w:val="000000"/>
          <w:sz w:val="24"/>
        </w:rPr>
      </w:pPr>
      <w:r>
        <w:rPr>
          <w:rFonts w:ascii="Aptos;sans-serif" w:hAnsi="Aptos;sans-serif"/>
          <w:color w:val="000000"/>
          <w:sz w:val="24"/>
        </w:rPr>
        <w:t>1.</w:t>
      </w:r>
    </w:p>
    <w:p>
      <w:pPr>
        <w:pStyle w:val="TextBody"/>
        <w:bidi w:val="0"/>
        <w:spacing w:before="0" w:after="0"/>
        <w:jc w:val="left"/>
        <w:rPr>
          <w:rFonts w:ascii="Aptos;sans-serif" w:hAnsi="Aptos;sans-serif"/>
          <w:sz w:val="24"/>
        </w:rPr>
      </w:pPr>
      <w:r>
        <w:rPr>
          <w:rFonts w:ascii="Aptos;sans-serif" w:hAnsi="Aptos;sans-serif"/>
          <w:color w:val="000000"/>
          <w:sz w:val="24"/>
        </w:rPr>
        <w:t xml:space="preserve">Burnett H, Emich H, Carroll C, et al. Epidemiological and clinical burden of EGFR exon 20 insertion in advanced non-small cell lung cancer: a systematic literature review. </w:t>
      </w:r>
      <w:r>
        <w:rPr>
          <w:rFonts w:ascii="Aptos;sans-serif" w:hAnsi="Aptos;sans-serif"/>
          <w:i/>
          <w:color w:val="000000"/>
          <w:sz w:val="24"/>
        </w:rPr>
        <w:t>PLOS ONE</w:t>
      </w:r>
      <w:r>
        <w:rPr>
          <w:rFonts w:ascii="Aptos;sans-serif" w:hAnsi="Aptos;sans-serif"/>
          <w:color w:val="000000"/>
          <w:sz w:val="24"/>
        </w:rPr>
        <w:t xml:space="preserve">. 2021;16(3): e0247620. Available at: </w:t>
      </w:r>
      <w:r>
        <w:rPr>
          <w:rFonts w:ascii="Aptos;sans-serif" w:hAnsi="Aptos;sans-serif"/>
          <w:sz w:val="24"/>
        </w:rPr>
        <w:t>https://journals.plos.org/plosone/article?id=10.1371/journal.pone.0247620</w:t>
      </w:r>
      <w:r>
        <w:rPr>
          <w:rFonts w:ascii="Aptos;sans-serif" w:hAnsi="Aptos;sans-serif"/>
          <w:color w:val="000000"/>
          <w:sz w:val="24"/>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2.</w:t>
      </w:r>
    </w:p>
    <w:p>
      <w:pPr>
        <w:pStyle w:val="TextBody"/>
        <w:bidi w:val="0"/>
        <w:jc w:val="left"/>
        <w:rPr>
          <w:rFonts w:ascii="Aptos;sans-serif" w:hAnsi="Aptos;sans-serif"/>
          <w:sz w:val="24"/>
        </w:rPr>
      </w:pPr>
      <w:r>
        <w:rPr>
          <w:rFonts w:ascii="Aptos;sans-serif" w:hAnsi="Aptos;sans-serif"/>
          <w:color w:val="000000"/>
          <w:sz w:val="24"/>
        </w:rPr>
        <w:t xml:space="preserve">Riess JW, Gandara DR, Frampton GM, et al. Diverse EGFR Exon 20 Insertions and Co-Occurring Molecular Alterations Identified by Comprehensive Genomic Profiling of NSCLC. </w:t>
      </w:r>
      <w:r>
        <w:rPr>
          <w:rFonts w:ascii="Aptos;sans-serif" w:hAnsi="Aptos;sans-serif"/>
          <w:i/>
          <w:color w:val="000000"/>
          <w:sz w:val="24"/>
        </w:rPr>
        <w:t>Journal of Thoracic Oncology</w:t>
      </w:r>
      <w:r>
        <w:rPr>
          <w:rFonts w:ascii="Aptos;sans-serif" w:hAnsi="Aptos;sans-serif"/>
          <w:color w:val="000000"/>
          <w:sz w:val="24"/>
        </w:rPr>
        <w:t xml:space="preserve">. 2018 Jul 5;13(10):1560–1568. Available at: </w:t>
      </w:r>
      <w:r>
        <w:rPr>
          <w:rFonts w:ascii="Aptos;sans-serif" w:hAnsi="Aptos;sans-serif"/>
          <w:sz w:val="24"/>
        </w:rPr>
        <w:t>https://www.jto.org/article/S1556-0864(18)30770-6/pdf</w:t>
      </w:r>
      <w:r>
        <w:rPr>
          <w:rFonts w:ascii="Aptos;sans-serif" w:hAnsi="Aptos;sans-serif"/>
          <w:color w:val="000000"/>
          <w:sz w:val="24"/>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Aptos;sans-serif" w:hAnsi="Aptos;sans-serif"/>
          <w:color w:val="7F7F7F"/>
          <w:sz w:val="20"/>
        </w:rPr>
      </w:pPr>
      <w:r>
        <w:rPr>
          <w:rFonts w:ascii="Aptos;sans-serif" w:hAnsi="Aptos;sans-serif"/>
          <w:color w:val="7F7F7F"/>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3024</Words>
  <Characters>18202</Characters>
  <CharactersWithSpaces>21264</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