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Michaelson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CULLINAN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MAIN STREET, SUITE 1350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Cullinan Therapeutics, Inc.</w:t>
              </w:r>
            </w:hyperlink>
            <w:r>
              <w:rPr/>
              <w:t xml:space="preserve"> [ </w:t>
            </w:r>
            <w:r>
              <w:rPr>
                <w:rFonts w:ascii="Times;serif" w:hAnsi="Times;serif"/>
                <w:color w:val="0000FF"/>
                <w:sz w:val="24"/>
                <w:shd w:fill="FFFFFF" w:val="clear"/>
              </w:rPr>
              <w:t>CGEM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170,844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17.82</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162,844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plan established pursuant to Rule 10b5-1 on August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$17.35 to $18.19.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vested on July 4, 2020, and the remaining shares vested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Jacquelyn Sumer,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061" TargetMode="External"/><Relationship Id="rId5" Type="http://schemas.openxmlformats.org/officeDocument/2006/relationships/hyperlink" Target="http://www.sec.gov/cgi-bin/browse-edgar?action=getcompany&amp;CIK=00017899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3769</Characters>
  <CharactersWithSpaces>4389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