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Michaelson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CULLINAN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SUITE 1350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Cullinan Therapeutics, Inc.</w:t>
              </w:r>
            </w:hyperlink>
            <w:r>
              <w:rPr/>
              <w:t xml:space="preserve"> [ </w:t>
            </w:r>
            <w:r>
              <w:rPr>
                <w:rFonts w:ascii="Times;serif" w:hAnsi="Times;serif"/>
                <w:color w:val="0000FF"/>
                <w:sz w:val="24"/>
                <w:shd w:fill="FFFFFF" w:val="clear"/>
              </w:rPr>
              <w:t>CGEM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166,844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21.57</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plan established pursuant to Rule 10b5-1 on August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$21.31 to $21.83.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vested on July 4, 2020, and the remaining shares vested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Jacquelyn Sumer,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061" TargetMode="External"/><Relationship Id="rId5" Type="http://schemas.openxmlformats.org/officeDocument/2006/relationships/hyperlink" Target="http://www.sec.gov/cgi-bin/browse-edgar?action=getcompany&amp;CIK=0001789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3788</Characters>
  <CharactersWithSpaces>4399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